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汉中市应急管理局不予处罚事项清单</w:t>
      </w:r>
      <w:r>
        <w:rPr>
          <w:rFonts w:hint="eastAsia" w:ascii="方正小标宋简体" w:hAnsi="黑体" w:eastAsia="方正小标宋简体"/>
          <w:sz w:val="44"/>
          <w:szCs w:val="44"/>
          <w:lang w:eastAsia="zh-CN"/>
        </w:rPr>
        <w:t>（</w:t>
      </w:r>
      <w:r>
        <w:rPr>
          <w:rFonts w:hint="eastAsia" w:ascii="方正小标宋简体" w:hAnsi="黑体" w:eastAsia="方正小标宋简体"/>
          <w:sz w:val="44"/>
          <w:szCs w:val="44"/>
          <w:lang w:val="en-US" w:eastAsia="zh-CN"/>
        </w:rPr>
        <w:t>修订稿</w:t>
      </w:r>
      <w:r>
        <w:rPr>
          <w:rFonts w:hint="eastAsia" w:ascii="方正小标宋简体" w:hAnsi="黑体" w:eastAsia="方正小标宋简体"/>
          <w:sz w:val="44"/>
          <w:szCs w:val="44"/>
          <w:lang w:eastAsia="zh-CN"/>
        </w:rPr>
        <w:t>）</w:t>
      </w:r>
    </w:p>
    <w:p>
      <w:pPr>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单位（公章）：汉中市应急管理局            联系人：                          联系电话：</w:t>
      </w:r>
    </w:p>
    <w:tbl>
      <w:tblPr>
        <w:tblStyle w:val="6"/>
        <w:tblW w:w="1470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701"/>
        <w:gridCol w:w="1701"/>
        <w:gridCol w:w="2126"/>
        <w:gridCol w:w="6946"/>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blHeader/>
        </w:trPr>
        <w:tc>
          <w:tcPr>
            <w:tcW w:w="534" w:type="dxa"/>
            <w:vAlign w:val="center"/>
          </w:tcPr>
          <w:p>
            <w:pPr>
              <w:spacing w:line="320" w:lineRule="exact"/>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序号</w:t>
            </w:r>
          </w:p>
        </w:tc>
        <w:tc>
          <w:tcPr>
            <w:tcW w:w="1701" w:type="dxa"/>
            <w:vAlign w:val="center"/>
          </w:tcPr>
          <w:p>
            <w:pPr>
              <w:spacing w:line="320" w:lineRule="exact"/>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处罚事项</w:t>
            </w:r>
          </w:p>
        </w:tc>
        <w:tc>
          <w:tcPr>
            <w:tcW w:w="1701" w:type="dxa"/>
            <w:vAlign w:val="center"/>
          </w:tcPr>
          <w:p>
            <w:pPr>
              <w:spacing w:line="320" w:lineRule="exact"/>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处罚事项编码</w:t>
            </w:r>
          </w:p>
        </w:tc>
        <w:tc>
          <w:tcPr>
            <w:tcW w:w="2126" w:type="dxa"/>
            <w:vAlign w:val="center"/>
          </w:tcPr>
          <w:p>
            <w:pPr>
              <w:spacing w:line="320" w:lineRule="exact"/>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不予处罚的情形</w:t>
            </w:r>
          </w:p>
        </w:tc>
        <w:tc>
          <w:tcPr>
            <w:tcW w:w="6946" w:type="dxa"/>
            <w:vAlign w:val="center"/>
          </w:tcPr>
          <w:p>
            <w:pPr>
              <w:spacing w:line="320" w:lineRule="exact"/>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不予处罚的依据</w:t>
            </w:r>
          </w:p>
        </w:tc>
        <w:tc>
          <w:tcPr>
            <w:tcW w:w="1701" w:type="dxa"/>
            <w:vAlign w:val="center"/>
          </w:tcPr>
          <w:p>
            <w:pPr>
              <w:spacing w:line="320" w:lineRule="exact"/>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配套监管措施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534" w:type="dxa"/>
            <w:vAlign w:val="center"/>
          </w:tcPr>
          <w:p>
            <w:pPr>
              <w:spacing w:line="320" w:lineRule="exac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1</w:t>
            </w:r>
          </w:p>
        </w:tc>
        <w:tc>
          <w:tcPr>
            <w:tcW w:w="1701" w:type="dxa"/>
            <w:vAlign w:val="center"/>
          </w:tcPr>
          <w:p>
            <w:pPr>
              <w:spacing w:line="320" w:lineRule="exact"/>
              <w:rPr>
                <w:rFonts w:ascii="宋体" w:hAnsi="宋体" w:eastAsia="宋体"/>
                <w:color w:val="000000" w:themeColor="text1"/>
                <w:sz w:val="24"/>
                <w:szCs w:val="24"/>
                <w:shd w:val="clear" w:color="auto" w:fill="FFFFFF"/>
                <w14:textFill>
                  <w14:solidFill>
                    <w14:schemeClr w14:val="tx1"/>
                  </w14:solidFill>
                </w14:textFill>
              </w:rPr>
            </w:pPr>
            <w:r>
              <w:rPr>
                <w:rFonts w:hint="eastAsia" w:ascii="宋体" w:hAnsi="宋体" w:eastAsia="宋体"/>
                <w:color w:val="000000" w:themeColor="text1"/>
                <w:sz w:val="24"/>
                <w:szCs w:val="24"/>
                <w:shd w:val="clear" w:color="auto" w:fill="FFFFFF"/>
                <w14:textFill>
                  <w14:solidFill>
                    <w14:schemeClr w14:val="tx1"/>
                  </w14:solidFill>
                </w14:textFill>
              </w:rPr>
              <w:t>生产经营单位未如实记录安全生产教育和培训情况的。</w:t>
            </w:r>
          </w:p>
          <w:p>
            <w:pPr>
              <w:spacing w:line="320" w:lineRule="exact"/>
              <w:rPr>
                <w:rFonts w:ascii="宋体" w:hAnsi="宋体" w:eastAsia="宋体"/>
                <w:color w:val="000000" w:themeColor="text1"/>
                <w:sz w:val="24"/>
                <w:szCs w:val="24"/>
                <w14:textFill>
                  <w14:solidFill>
                    <w14:schemeClr w14:val="tx1"/>
                  </w14:solidFill>
                </w14:textFill>
              </w:rPr>
            </w:pPr>
          </w:p>
        </w:tc>
        <w:tc>
          <w:tcPr>
            <w:tcW w:w="1701" w:type="dxa"/>
            <w:vAlign w:val="center"/>
          </w:tcPr>
          <w:p>
            <w:pPr>
              <w:spacing w:line="320" w:lineRule="exact"/>
              <w:rPr>
                <w:rFonts w:ascii="宋体" w:hAnsi="宋体" w:eastAsia="宋体"/>
                <w:color w:val="000000" w:themeColor="text1"/>
                <w:sz w:val="24"/>
                <w:szCs w:val="24"/>
                <w14:textFill>
                  <w14:solidFill>
                    <w14:schemeClr w14:val="tx1"/>
                  </w14:solidFill>
                </w14:textFill>
              </w:rPr>
            </w:pPr>
          </w:p>
        </w:tc>
        <w:tc>
          <w:tcPr>
            <w:tcW w:w="2126" w:type="dxa"/>
            <w:vAlign w:val="center"/>
          </w:tcPr>
          <w:p>
            <w:pPr>
              <w:spacing w:line="32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shd w:val="clear" w:color="auto" w:fill="FFFFFF"/>
                <w14:textFill>
                  <w14:solidFill>
                    <w14:schemeClr w14:val="tx1"/>
                  </w14:solidFill>
                </w14:textFill>
              </w:rPr>
              <w:t>非高危生产经营单位有证据证明已按规定进行了安全生产教育和培训，但未如实记录（故意对记录造假的除外），属于首次被发现,违法行为轻微且责令限期改正后及时改正,没有造成危害后果的。</w:t>
            </w:r>
          </w:p>
        </w:tc>
        <w:tc>
          <w:tcPr>
            <w:tcW w:w="6946" w:type="dxa"/>
            <w:vAlign w:val="center"/>
          </w:tcPr>
          <w:p>
            <w:pPr>
              <w:pStyle w:val="4"/>
              <w:shd w:val="clear" w:color="auto" w:fill="FFFFFF"/>
              <w:spacing w:before="0" w:beforeAutospacing="0" w:after="0" w:afterAutospacing="0" w:line="320" w:lineRule="exact"/>
              <w:jc w:val="both"/>
              <w:rPr>
                <w:color w:val="000000" w:themeColor="text1"/>
                <w:spacing w:val="-4"/>
                <w14:textFill>
                  <w14:solidFill>
                    <w14:schemeClr w14:val="tx1"/>
                  </w14:solidFill>
                </w14:textFill>
              </w:rPr>
            </w:pPr>
            <w:r>
              <w:rPr>
                <w:rStyle w:val="8"/>
                <w:rFonts w:hint="eastAsia"/>
                <w:color w:val="000000" w:themeColor="text1"/>
                <w:spacing w:val="-4"/>
                <w14:textFill>
                  <w14:solidFill>
                    <w14:schemeClr w14:val="tx1"/>
                  </w14:solidFill>
                </w14:textFill>
              </w:rPr>
              <w:t>1.《中华人民共和国安全生产法》</w:t>
            </w:r>
            <w:r>
              <w:rPr>
                <w:rFonts w:hint="eastAsia"/>
                <w:color w:val="000000" w:themeColor="text1"/>
                <w:spacing w:val="-4"/>
                <w14:textFill>
                  <w14:solidFill>
                    <w14:schemeClr w14:val="tx1"/>
                  </w14:solidFill>
                </w14:textFill>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p>
            <w:pPr>
              <w:widowControl/>
              <w:spacing w:line="320" w:lineRule="exact"/>
              <w:rPr>
                <w:rFonts w:ascii="宋体" w:hAnsi="宋体" w:eastAsia="宋体" w:cs="宋体"/>
                <w:color w:val="000000" w:themeColor="text1"/>
                <w:kern w:val="0"/>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2.《生产经营单位安全培训规定》</w:t>
            </w:r>
            <w:r>
              <w:rPr>
                <w:rFonts w:hint="eastAsia" w:ascii="宋体" w:hAnsi="宋体" w:eastAsia="宋体" w:cs="等线"/>
                <w:color w:val="000000" w:themeColor="text1"/>
                <w:kern w:val="0"/>
                <w:sz w:val="24"/>
                <w:szCs w:val="24"/>
                <w14:textFill>
                  <w14:solidFill>
                    <w14:schemeClr w14:val="tx1"/>
                  </w14:solidFill>
                </w14:textFill>
              </w:rPr>
              <w:t>第三十条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三）未如实记录安全生产教育和培训情况的；</w:t>
            </w:r>
          </w:p>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3.《中华人民共和国行政处罚法》</w:t>
            </w:r>
            <w:r>
              <w:rPr>
                <w:rFonts w:hint="eastAsia"/>
                <w:color w:val="000000" w:themeColor="text1"/>
                <w14:textFill>
                  <w14:solidFill>
                    <w14:schemeClr w14:val="tx1"/>
                  </w14:solidFill>
                </w14:textFill>
              </w:rPr>
              <w:t>第三十三条第一款 违法行为轻微并及时纠正，没有造成危害后果的，不予行政处罚。初次违法且危害后果轻微并及时改正的，可以不予行政处罚。</w:t>
            </w:r>
          </w:p>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4.</w:t>
            </w:r>
            <w:r>
              <w:rPr>
                <w:rFonts w:hint="eastAsia"/>
                <w:b/>
                <w:bCs/>
                <w:color w:val="000000" w:themeColor="text1"/>
                <w14:textFill>
                  <w14:solidFill>
                    <w14:schemeClr w14:val="tx1"/>
                  </w14:solidFill>
                </w14:textFill>
              </w:rPr>
              <w:t>《安全生产行政处罚自由裁量适用规则（试行）》</w:t>
            </w:r>
            <w:r>
              <w:rPr>
                <w:rFonts w:hint="eastAsia"/>
                <w:color w:val="000000" w:themeColor="text1"/>
                <w14:textFill>
                  <w14:solidFill>
                    <w14:schemeClr w14:val="tx1"/>
                  </w14:solidFill>
                </w14:textFill>
              </w:rPr>
              <w:t>第十六条</w:t>
            </w:r>
            <w:r>
              <w:rPr>
                <w:rFonts w:hint="eastAsia" w:hAnsi="等线" w:eastAsia="MS Mincho" w:cs="Times New Roman"/>
                <w:color w:val="000000" w:themeColor="text1"/>
                <w14:textFill>
                  <w14:solidFill>
                    <w14:schemeClr w14:val="tx1"/>
                  </w14:solidFill>
                </w14:textFill>
              </w:rPr>
              <w:t>  </w:t>
            </w:r>
            <w:r>
              <w:rPr>
                <w:rFonts w:hint="eastAsia"/>
                <w:color w:val="000000" w:themeColor="text1"/>
                <w14:textFill>
                  <w14:solidFill>
                    <w14:schemeClr w14:val="tx1"/>
                  </w14:solidFill>
                </w14:textFill>
              </w:rPr>
              <w:t>当事人有下列情形之一的，不予处罚：（二）安全生产违法行为轻微并及时纠正，没有造成危害后果的；</w:t>
            </w:r>
          </w:p>
        </w:tc>
        <w:tc>
          <w:tcPr>
            <w:tcW w:w="1701" w:type="dxa"/>
            <w:vAlign w:val="center"/>
          </w:tcPr>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Fonts w:hint="eastAsia" w:cs="等线"/>
                <w:color w:val="000000" w:themeColor="text1"/>
                <w14:textFill>
                  <w14:solidFill>
                    <w14:schemeClr w14:val="tx1"/>
                  </w14:solidFill>
                </w14:textFill>
              </w:rPr>
              <w:t>预警提示、行政指导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8" w:hRule="atLeast"/>
        </w:trPr>
        <w:tc>
          <w:tcPr>
            <w:tcW w:w="534" w:type="dxa"/>
            <w:vAlign w:val="center"/>
          </w:tcPr>
          <w:p>
            <w:pPr>
              <w:spacing w:line="320" w:lineRule="exac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2</w:t>
            </w:r>
          </w:p>
        </w:tc>
        <w:tc>
          <w:tcPr>
            <w:tcW w:w="1701" w:type="dxa"/>
            <w:vAlign w:val="center"/>
          </w:tcPr>
          <w:p>
            <w:pPr>
              <w:spacing w:line="32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shd w:val="clear" w:color="auto" w:fill="FFFFFF"/>
                <w14:textFill>
                  <w14:solidFill>
                    <w14:schemeClr w14:val="tx1"/>
                  </w14:solidFill>
                </w14:textFill>
              </w:rPr>
              <w:t>生产经营单位未按照规定开展应急预案评审的</w:t>
            </w:r>
          </w:p>
        </w:tc>
        <w:tc>
          <w:tcPr>
            <w:tcW w:w="1701" w:type="dxa"/>
            <w:vAlign w:val="center"/>
          </w:tcPr>
          <w:p>
            <w:pPr>
              <w:spacing w:line="320" w:lineRule="exact"/>
              <w:rPr>
                <w:rFonts w:ascii="宋体" w:hAnsi="宋体" w:eastAsia="宋体"/>
                <w:color w:val="000000" w:themeColor="text1"/>
                <w:sz w:val="24"/>
                <w:szCs w:val="24"/>
                <w14:textFill>
                  <w14:solidFill>
                    <w14:schemeClr w14:val="tx1"/>
                  </w14:solidFill>
                </w14:textFill>
              </w:rPr>
            </w:pPr>
          </w:p>
        </w:tc>
        <w:tc>
          <w:tcPr>
            <w:tcW w:w="2126" w:type="dxa"/>
            <w:vAlign w:val="center"/>
          </w:tcPr>
          <w:p>
            <w:pPr>
              <w:spacing w:line="32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shd w:val="clear" w:color="auto" w:fill="FFFFFF"/>
                <w14:textFill>
                  <w14:solidFill>
                    <w14:schemeClr w14:val="tx1"/>
                  </w14:solidFill>
                </w14:textFill>
              </w:rPr>
              <w:t>非高危生产经营单位，属于首次被发现，违法行为轻微且责令限期改正后及时改正，没有造成危害后果的。</w:t>
            </w:r>
          </w:p>
        </w:tc>
        <w:tc>
          <w:tcPr>
            <w:tcW w:w="6946" w:type="dxa"/>
            <w:vAlign w:val="center"/>
          </w:tcPr>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1.《生产安全事故应急预案管理办法》</w:t>
            </w:r>
            <w:r>
              <w:rPr>
                <w:rFonts w:hint="eastAsia"/>
                <w:color w:val="000000" w:themeColor="text1"/>
                <w14:textFill>
                  <w14:solidFill>
                    <w14:schemeClr w14:val="tx1"/>
                  </w14:solidFill>
                </w14:textFill>
              </w:rPr>
              <w:t>第四十五条 生产经营单位有下列情形之一的，由县级以上人民政府应急管理部门责令限期改正，可以处1万元以上3万元以下的罚款：（二）未按照规定开展应急预案评审的；</w:t>
            </w:r>
          </w:p>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2.《中华人民共和国行政处罚法》</w:t>
            </w:r>
            <w:r>
              <w:rPr>
                <w:rFonts w:hint="eastAsia"/>
                <w:color w:val="000000" w:themeColor="text1"/>
                <w14:textFill>
                  <w14:solidFill>
                    <w14:schemeClr w14:val="tx1"/>
                  </w14:solidFill>
                </w14:textFill>
              </w:rPr>
              <w:t>第三十三条第一款 违法行为轻微并及时纠正，没有造成危害后果的，不予行政处罚。初次违法且危害后果轻微并及时改正的，可以不予行政处罚。</w:t>
            </w:r>
          </w:p>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3.</w:t>
            </w:r>
            <w:r>
              <w:rPr>
                <w:rFonts w:hint="eastAsia"/>
                <w:b/>
                <w:bCs/>
                <w:color w:val="000000" w:themeColor="text1"/>
                <w14:textFill>
                  <w14:solidFill>
                    <w14:schemeClr w14:val="tx1"/>
                  </w14:solidFill>
                </w14:textFill>
              </w:rPr>
              <w:t>《安全生产行政处罚自由裁量适用规则（试行）》</w:t>
            </w:r>
            <w:r>
              <w:rPr>
                <w:rFonts w:hint="eastAsia"/>
                <w:color w:val="000000" w:themeColor="text1"/>
                <w14:textFill>
                  <w14:solidFill>
                    <w14:schemeClr w14:val="tx1"/>
                  </w14:solidFill>
                </w14:textFill>
              </w:rPr>
              <w:t>第十六条</w:t>
            </w:r>
            <w:r>
              <w:rPr>
                <w:rFonts w:hint="eastAsia" w:hAnsi="等线" w:eastAsia="MS Mincho" w:cs="Times New Roman"/>
                <w:color w:val="000000" w:themeColor="text1"/>
                <w14:textFill>
                  <w14:solidFill>
                    <w14:schemeClr w14:val="tx1"/>
                  </w14:solidFill>
                </w14:textFill>
              </w:rPr>
              <w:t>  </w:t>
            </w:r>
            <w:r>
              <w:rPr>
                <w:rFonts w:hint="eastAsia"/>
                <w:color w:val="000000" w:themeColor="text1"/>
                <w14:textFill>
                  <w14:solidFill>
                    <w14:schemeClr w14:val="tx1"/>
                  </w14:solidFill>
                </w14:textFill>
              </w:rPr>
              <w:t>当事人有下列情形之一的，不予处罚：（二）安全生产违法行为轻微并及时纠正，没有造成危害后果的；</w:t>
            </w:r>
          </w:p>
        </w:tc>
        <w:tc>
          <w:tcPr>
            <w:tcW w:w="1701" w:type="dxa"/>
            <w:vAlign w:val="center"/>
          </w:tcPr>
          <w:p>
            <w:pPr>
              <w:spacing w:line="32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劝导示范、行政指导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8" w:hRule="atLeast"/>
        </w:trPr>
        <w:tc>
          <w:tcPr>
            <w:tcW w:w="534" w:type="dxa"/>
            <w:vAlign w:val="center"/>
          </w:tcPr>
          <w:p>
            <w:pPr>
              <w:spacing w:line="320" w:lineRule="exac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3</w:t>
            </w:r>
          </w:p>
        </w:tc>
        <w:tc>
          <w:tcPr>
            <w:tcW w:w="1701" w:type="dxa"/>
            <w:vAlign w:val="center"/>
          </w:tcPr>
          <w:p>
            <w:pPr>
              <w:spacing w:line="32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shd w:val="clear" w:color="auto" w:fill="FFFFFF"/>
                <w14:textFill>
                  <w14:solidFill>
                    <w14:schemeClr w14:val="tx1"/>
                  </w14:solidFill>
                </w14:textFill>
              </w:rPr>
              <w:t>事故风险可能影响周边单位、人员的，生产经营单位未将事故风险的性质、影响范围和应急防范措施告知周边单位和人员的</w:t>
            </w:r>
          </w:p>
        </w:tc>
        <w:tc>
          <w:tcPr>
            <w:tcW w:w="1701" w:type="dxa"/>
            <w:vAlign w:val="center"/>
          </w:tcPr>
          <w:p>
            <w:pPr>
              <w:spacing w:line="320" w:lineRule="exact"/>
              <w:rPr>
                <w:rFonts w:ascii="宋体" w:hAnsi="宋体" w:eastAsia="宋体"/>
                <w:color w:val="000000" w:themeColor="text1"/>
                <w:sz w:val="24"/>
                <w:szCs w:val="24"/>
                <w14:textFill>
                  <w14:solidFill>
                    <w14:schemeClr w14:val="tx1"/>
                  </w14:solidFill>
                </w14:textFill>
              </w:rPr>
            </w:pPr>
          </w:p>
        </w:tc>
        <w:tc>
          <w:tcPr>
            <w:tcW w:w="2126" w:type="dxa"/>
            <w:vAlign w:val="center"/>
          </w:tcPr>
          <w:p>
            <w:pPr>
              <w:spacing w:line="32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shd w:val="clear" w:color="auto" w:fill="FFFFFF"/>
                <w14:textFill>
                  <w14:solidFill>
                    <w14:schemeClr w14:val="tx1"/>
                  </w14:solidFill>
                </w14:textFill>
              </w:rPr>
              <w:t>非高危生产经营单位，属于首次被发现，违法行为轻微且责令限期改正后及时改正，没有造成危害后果的。</w:t>
            </w:r>
          </w:p>
        </w:tc>
        <w:tc>
          <w:tcPr>
            <w:tcW w:w="6946" w:type="dxa"/>
            <w:vAlign w:val="center"/>
          </w:tcPr>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1.《生产安全事故应急预案管理办法》</w:t>
            </w:r>
            <w:r>
              <w:rPr>
                <w:rFonts w:hint="eastAsia"/>
                <w:color w:val="000000" w:themeColor="text1"/>
                <w14:textFill>
                  <w14:solidFill>
                    <w14:schemeClr w14:val="tx1"/>
                  </w14:solidFill>
                </w14:textFill>
              </w:rPr>
              <w:t>第四十五条 生产经营单位有下列情形之一的，由县级以上人民政府应急管理部门责令限期改正，可以处1万元以上3万元以下的罚款：（三）事故风险可能影响周边单位、人员的，未将事故风险的性质、影响范围和应急防范措施告知周边单位和人员的。</w:t>
            </w:r>
          </w:p>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2.《中华人民共和国行政处罚法》</w:t>
            </w:r>
            <w:r>
              <w:rPr>
                <w:rFonts w:hint="eastAsia"/>
                <w:color w:val="000000" w:themeColor="text1"/>
                <w14:textFill>
                  <w14:solidFill>
                    <w14:schemeClr w14:val="tx1"/>
                  </w14:solidFill>
                </w14:textFill>
              </w:rPr>
              <w:t>第三十三条第一款 违法行为轻微并及时纠正，没有造成危害后果的，不予行政处罚。初次违法且危害后果轻微并及时改正的，可以不予行政处罚。</w:t>
            </w:r>
          </w:p>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3.</w:t>
            </w:r>
            <w:r>
              <w:rPr>
                <w:rFonts w:hint="eastAsia"/>
                <w:b/>
                <w:bCs/>
                <w:color w:val="000000" w:themeColor="text1"/>
                <w14:textFill>
                  <w14:solidFill>
                    <w14:schemeClr w14:val="tx1"/>
                  </w14:solidFill>
                </w14:textFill>
              </w:rPr>
              <w:t>《安全生产行政处罚自由裁量适用规则（试行）》</w:t>
            </w:r>
            <w:r>
              <w:rPr>
                <w:rFonts w:hint="eastAsia"/>
                <w:color w:val="000000" w:themeColor="text1"/>
                <w14:textFill>
                  <w14:solidFill>
                    <w14:schemeClr w14:val="tx1"/>
                  </w14:solidFill>
                </w14:textFill>
              </w:rPr>
              <w:t>第十六条</w:t>
            </w:r>
            <w:r>
              <w:rPr>
                <w:rFonts w:hint="eastAsia" w:hAnsi="等线" w:eastAsia="MS Mincho" w:cs="Times New Roman"/>
                <w:color w:val="000000" w:themeColor="text1"/>
                <w14:textFill>
                  <w14:solidFill>
                    <w14:schemeClr w14:val="tx1"/>
                  </w14:solidFill>
                </w14:textFill>
              </w:rPr>
              <w:t>  </w:t>
            </w:r>
            <w:r>
              <w:rPr>
                <w:rFonts w:hint="eastAsia"/>
                <w:color w:val="000000" w:themeColor="text1"/>
                <w14:textFill>
                  <w14:solidFill>
                    <w14:schemeClr w14:val="tx1"/>
                  </w14:solidFill>
                </w14:textFill>
              </w:rPr>
              <w:t>当事人有下列情形之一的，不予处罚：（二）安全生产违法行为轻微并及时纠正，没有造成危害后果的；</w:t>
            </w:r>
          </w:p>
        </w:tc>
        <w:tc>
          <w:tcPr>
            <w:tcW w:w="1701" w:type="dxa"/>
            <w:vAlign w:val="center"/>
          </w:tcPr>
          <w:p>
            <w:pPr>
              <w:spacing w:line="32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行政指导、行政建议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3" w:hRule="atLeast"/>
        </w:trPr>
        <w:tc>
          <w:tcPr>
            <w:tcW w:w="534" w:type="dxa"/>
            <w:vAlign w:val="center"/>
          </w:tcPr>
          <w:p>
            <w:pPr>
              <w:spacing w:line="320" w:lineRule="exac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4</w:t>
            </w:r>
          </w:p>
        </w:tc>
        <w:tc>
          <w:tcPr>
            <w:tcW w:w="1701" w:type="dxa"/>
            <w:vAlign w:val="center"/>
          </w:tcPr>
          <w:p>
            <w:pPr>
              <w:spacing w:line="32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shd w:val="clear" w:color="auto" w:fill="FFFFFF"/>
                <w14:textFill>
                  <w14:solidFill>
                    <w14:schemeClr w14:val="tx1"/>
                  </w14:solidFill>
                </w14:textFill>
              </w:rPr>
              <w:t>生产经营单位未按照规定开展应急预案</w:t>
            </w:r>
            <w:r>
              <w:rPr>
                <w:rFonts w:hint="eastAsia" w:ascii="宋体" w:hAnsi="宋体" w:eastAsia="宋体"/>
                <w:color w:val="000000" w:themeColor="text1"/>
                <w:sz w:val="24"/>
                <w:szCs w:val="24"/>
                <w:shd w:val="clear" w:color="auto" w:fill="FFFFFF"/>
                <w:lang w:val="en-US" w:eastAsia="zh-CN"/>
                <w14:textFill>
                  <w14:solidFill>
                    <w14:schemeClr w14:val="tx1"/>
                  </w14:solidFill>
                </w14:textFill>
              </w:rPr>
              <w:t>实施情况</w:t>
            </w:r>
            <w:bookmarkStart w:id="0" w:name="_GoBack"/>
            <w:bookmarkEnd w:id="0"/>
            <w:r>
              <w:rPr>
                <w:rFonts w:hint="eastAsia" w:ascii="宋体" w:hAnsi="宋体" w:eastAsia="宋体"/>
                <w:color w:val="000000" w:themeColor="text1"/>
                <w:sz w:val="24"/>
                <w:szCs w:val="24"/>
                <w:shd w:val="clear" w:color="auto" w:fill="FFFFFF"/>
                <w14:textFill>
                  <w14:solidFill>
                    <w14:schemeClr w14:val="tx1"/>
                  </w14:solidFill>
                </w14:textFill>
              </w:rPr>
              <w:t>评估的</w:t>
            </w:r>
          </w:p>
        </w:tc>
        <w:tc>
          <w:tcPr>
            <w:tcW w:w="1701" w:type="dxa"/>
            <w:vAlign w:val="center"/>
          </w:tcPr>
          <w:p>
            <w:pPr>
              <w:spacing w:line="320" w:lineRule="exact"/>
              <w:rPr>
                <w:rFonts w:ascii="宋体" w:hAnsi="宋体" w:eastAsia="宋体"/>
                <w:color w:val="000000" w:themeColor="text1"/>
                <w:sz w:val="24"/>
                <w:szCs w:val="24"/>
                <w14:textFill>
                  <w14:solidFill>
                    <w14:schemeClr w14:val="tx1"/>
                  </w14:solidFill>
                </w14:textFill>
              </w:rPr>
            </w:pPr>
          </w:p>
        </w:tc>
        <w:tc>
          <w:tcPr>
            <w:tcW w:w="2126" w:type="dxa"/>
            <w:vAlign w:val="center"/>
          </w:tcPr>
          <w:p>
            <w:pPr>
              <w:spacing w:line="32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shd w:val="clear" w:color="auto" w:fill="FFFFFF"/>
                <w14:textFill>
                  <w14:solidFill>
                    <w14:schemeClr w14:val="tx1"/>
                  </w14:solidFill>
                </w14:textFill>
              </w:rPr>
              <w:t>非高危生产经营单位，属于首次被发现，违法行为轻微且责令限期改正后及时改正，没有造成危害后果的。</w:t>
            </w:r>
          </w:p>
        </w:tc>
        <w:tc>
          <w:tcPr>
            <w:tcW w:w="6946" w:type="dxa"/>
            <w:vAlign w:val="center"/>
          </w:tcPr>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1.《生产安全事故应急预案管理办法》</w:t>
            </w:r>
            <w:r>
              <w:rPr>
                <w:rFonts w:hint="eastAsia"/>
                <w:color w:val="000000" w:themeColor="text1"/>
                <w14:textFill>
                  <w14:solidFill>
                    <w14:schemeClr w14:val="tx1"/>
                  </w14:solidFill>
                </w14:textFill>
              </w:rPr>
              <w:t>第四十五条 生产经营单位有下列情形之一的，由县级以上人民政府应急管理部门责令限期改正，可以处1万元以上3万元以下的罚款：（四）未按照规定开展应急预案评估的；</w:t>
            </w:r>
          </w:p>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2.《中华人民共和国行政处罚法》</w:t>
            </w:r>
            <w:r>
              <w:rPr>
                <w:rFonts w:hint="eastAsia"/>
                <w:color w:val="000000" w:themeColor="text1"/>
                <w14:textFill>
                  <w14:solidFill>
                    <w14:schemeClr w14:val="tx1"/>
                  </w14:solidFill>
                </w14:textFill>
              </w:rPr>
              <w:t>第三十三条第一款 违法行为轻微并及时纠正，没有造成危害后果的，不予行政处罚。初次违法且危害后果轻微并及时改正的，可以不予行政处罚。</w:t>
            </w:r>
          </w:p>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3.</w:t>
            </w:r>
            <w:r>
              <w:rPr>
                <w:rFonts w:hint="eastAsia"/>
                <w:b/>
                <w:bCs/>
                <w:color w:val="000000" w:themeColor="text1"/>
                <w14:textFill>
                  <w14:solidFill>
                    <w14:schemeClr w14:val="tx1"/>
                  </w14:solidFill>
                </w14:textFill>
              </w:rPr>
              <w:t>《安全生产行政处罚自由裁量适用规则（试行）》</w:t>
            </w:r>
            <w:r>
              <w:rPr>
                <w:rFonts w:hint="eastAsia"/>
                <w:color w:val="000000" w:themeColor="text1"/>
                <w14:textFill>
                  <w14:solidFill>
                    <w14:schemeClr w14:val="tx1"/>
                  </w14:solidFill>
                </w14:textFill>
              </w:rPr>
              <w:t>第十六条</w:t>
            </w:r>
            <w:r>
              <w:rPr>
                <w:rFonts w:hint="eastAsia" w:hAnsi="等线" w:eastAsia="MS Mincho" w:cs="Times New Roman"/>
                <w:color w:val="000000" w:themeColor="text1"/>
                <w14:textFill>
                  <w14:solidFill>
                    <w14:schemeClr w14:val="tx1"/>
                  </w14:solidFill>
                </w14:textFill>
              </w:rPr>
              <w:t>  </w:t>
            </w:r>
            <w:r>
              <w:rPr>
                <w:rFonts w:hint="eastAsia"/>
                <w:color w:val="000000" w:themeColor="text1"/>
                <w14:textFill>
                  <w14:solidFill>
                    <w14:schemeClr w14:val="tx1"/>
                  </w14:solidFill>
                </w14:textFill>
              </w:rPr>
              <w:t>当事人有下列情形之一的，不予处罚：（二）安全生产违法行为轻微并及时纠正，没有造成危害后果的；</w:t>
            </w:r>
          </w:p>
        </w:tc>
        <w:tc>
          <w:tcPr>
            <w:tcW w:w="1701" w:type="dxa"/>
            <w:vAlign w:val="center"/>
          </w:tcPr>
          <w:p>
            <w:pPr>
              <w:spacing w:line="32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劝导示范、行政指导</w:t>
            </w:r>
          </w:p>
        </w:tc>
      </w:tr>
    </w:tbl>
    <w:p>
      <w:pPr>
        <w:pStyle w:val="4"/>
        <w:spacing w:before="0" w:beforeAutospacing="0" w:after="0" w:afterAutospacing="0" w:line="495" w:lineRule="atLeast"/>
        <w:ind w:firstLine="426"/>
        <w:rPr>
          <w:rFonts w:hint="eastAsia" w:ascii="仿宋_GB2312" w:hAnsi="仿宋_GB2312" w:eastAsia="仿宋_GB2312" w:cs="仿宋_GB2312"/>
          <w:b/>
          <w:color w:val="000000" w:themeColor="text1"/>
          <w:sz w:val="32"/>
          <w:szCs w:val="32"/>
          <w14:textFill>
            <w14:solidFill>
              <w14:schemeClr w14:val="tx1"/>
            </w14:solidFill>
          </w14:textFill>
        </w:rPr>
      </w:pPr>
      <w:r>
        <w:rPr>
          <w:rStyle w:val="8"/>
          <w:rFonts w:hint="eastAsia" w:ascii="仿宋_GB2312" w:hAnsi="仿宋_GB2312" w:eastAsia="仿宋_GB2312" w:cs="仿宋_GB2312"/>
          <w:b/>
          <w:bCs w:val="0"/>
          <w:color w:val="000000" w:themeColor="text1"/>
          <w:sz w:val="32"/>
          <w:szCs w:val="32"/>
          <w:shd w:val="clear" w:color="auto" w:fill="FFFFFF"/>
          <w14:textFill>
            <w14:solidFill>
              <w14:schemeClr w14:val="tx1"/>
            </w14:solidFill>
          </w14:textFill>
        </w:rPr>
        <w:t>说明：</w:t>
      </w:r>
      <w:r>
        <w:rPr>
          <w:rStyle w:val="8"/>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“非高危生产经营单位”是指除矿山、金属冶炼、建筑施工、道路运输单位和危险物品的生产、经营、储存单位以外的其他生产经营单位。</w:t>
      </w:r>
    </w:p>
    <w:p>
      <w:pPr>
        <w:pStyle w:val="4"/>
        <w:spacing w:before="0" w:beforeAutospacing="0" w:after="0" w:afterAutospacing="0" w:line="495" w:lineRule="atLeast"/>
        <w:ind w:firstLine="645"/>
        <w:rPr>
          <w:rFonts w:hint="eastAsia" w:ascii="仿宋_GB2312" w:hAnsi="仿宋_GB2312" w:eastAsia="仿宋_GB2312" w:cs="仿宋_GB2312"/>
          <w:b/>
          <w:color w:val="000000" w:themeColor="text1"/>
          <w:sz w:val="32"/>
          <w:szCs w:val="32"/>
          <w14:textFill>
            <w14:solidFill>
              <w14:schemeClr w14:val="tx1"/>
            </w14:solidFill>
          </w14:textFill>
        </w:rPr>
      </w:pPr>
      <w:r>
        <w:rPr>
          <w:rStyle w:val="8"/>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“首次被发现”是指生产经营单位的该项违法行为自本清单正式施行之日起第一次被安全生产监管部门执法人员发现。</w:t>
      </w:r>
    </w:p>
    <w:p>
      <w:pPr>
        <w:pStyle w:val="4"/>
        <w:spacing w:before="0" w:beforeAutospacing="0" w:after="0" w:afterAutospacing="0" w:line="495" w:lineRule="atLeast"/>
        <w:ind w:firstLine="645"/>
        <w:rPr>
          <w:rFonts w:hint="eastAsia" w:ascii="仿宋_GB2312" w:hAnsi="仿宋_GB2312" w:eastAsia="仿宋_GB2312" w:cs="仿宋_GB2312"/>
          <w:b/>
          <w:color w:val="000000" w:themeColor="text1"/>
          <w:sz w:val="32"/>
          <w:szCs w:val="32"/>
          <w14:textFill>
            <w14:solidFill>
              <w14:schemeClr w14:val="tx1"/>
            </w14:solidFill>
          </w14:textFill>
        </w:rPr>
      </w:pPr>
      <w:r>
        <w:rPr>
          <w:rStyle w:val="8"/>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“违法行为轻微并及时纠正”是指生产经营单位违法行为轻微，并按时限要求完成了违法行为整改，而且经执法人员复查验收符合法律法规和有关标准的要求。</w:t>
      </w:r>
    </w:p>
    <w:p>
      <w:pPr>
        <w:pStyle w:val="4"/>
        <w:spacing w:before="0" w:beforeAutospacing="0" w:after="0" w:afterAutospacing="0" w:line="495" w:lineRule="atLeast"/>
        <w:ind w:firstLine="645"/>
        <w:rPr>
          <w:rFonts w:hint="eastAsia" w:ascii="仿宋_GB2312" w:hAnsi="仿宋_GB2312" w:eastAsia="仿宋_GB2312" w:cs="仿宋_GB2312"/>
          <w:b/>
          <w:color w:val="000000" w:themeColor="text1"/>
          <w:sz w:val="32"/>
          <w:szCs w:val="32"/>
          <w14:textFill>
            <w14:solidFill>
              <w14:schemeClr w14:val="tx1"/>
            </w14:solidFill>
          </w14:textFill>
        </w:rPr>
      </w:pPr>
      <w:r>
        <w:rPr>
          <w:rStyle w:val="8"/>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“没有造成危害后果”是指没有给公民、法人和其他组织造成任何的财产损失或人员伤亡的后果。</w:t>
      </w:r>
    </w:p>
    <w:p>
      <w:pPr>
        <w:rPr>
          <w:rFonts w:hint="eastAsia" w:ascii="仿宋_GB2312" w:hAnsi="仿宋_GB2312" w:eastAsia="仿宋_GB2312" w:cs="仿宋_GB2312"/>
          <w:color w:val="000000" w:themeColor="text1"/>
          <w:sz w:val="28"/>
          <w:szCs w:val="28"/>
          <w14:textFill>
            <w14:solidFill>
              <w14:schemeClr w14:val="tx1"/>
            </w14:solidFill>
          </w14:textFill>
        </w:rPr>
      </w:pPr>
    </w:p>
    <w:p>
      <w:pPr>
        <w:jc w:val="center"/>
        <w:rPr>
          <w:rFonts w:hint="eastAsia" w:ascii="方正小标宋简体" w:hAnsi="黑体" w:eastAsia="方正小标宋简体"/>
          <w:color w:val="000000" w:themeColor="text1"/>
          <w:sz w:val="44"/>
          <w:szCs w:val="44"/>
          <w14:textFill>
            <w14:solidFill>
              <w14:schemeClr w14:val="tx1"/>
            </w14:solidFill>
          </w14:textFill>
        </w:rPr>
      </w:pPr>
    </w:p>
    <w:p>
      <w:pPr>
        <w:jc w:val="center"/>
        <w:rPr>
          <w:rFonts w:hint="eastAsia" w:ascii="方正小标宋简体" w:hAnsi="黑体" w:eastAsia="方正小标宋简体"/>
          <w:color w:val="000000" w:themeColor="text1"/>
          <w:sz w:val="44"/>
          <w:szCs w:val="44"/>
          <w14:textFill>
            <w14:solidFill>
              <w14:schemeClr w14:val="tx1"/>
            </w14:solidFill>
          </w14:textFill>
        </w:rPr>
      </w:pPr>
    </w:p>
    <w:p>
      <w:pPr>
        <w:jc w:val="center"/>
        <w:rPr>
          <w:rFonts w:hint="eastAsia" w:ascii="方正小标宋简体" w:hAnsi="黑体" w:eastAsia="方正小标宋简体"/>
          <w:color w:val="000000" w:themeColor="text1"/>
          <w:sz w:val="44"/>
          <w:szCs w:val="44"/>
          <w14:textFill>
            <w14:solidFill>
              <w14:schemeClr w14:val="tx1"/>
            </w14:solidFill>
          </w14:textFill>
        </w:rPr>
      </w:pPr>
    </w:p>
    <w:p>
      <w:pPr>
        <w:jc w:val="center"/>
        <w:rPr>
          <w:rFonts w:hint="eastAsia" w:ascii="方正小标宋简体" w:hAnsi="黑体" w:eastAsia="方正小标宋简体"/>
          <w:color w:val="000000" w:themeColor="text1"/>
          <w:sz w:val="44"/>
          <w:szCs w:val="44"/>
          <w14:textFill>
            <w14:solidFill>
              <w14:schemeClr w14:val="tx1"/>
            </w14:solidFill>
          </w14:textFill>
        </w:rPr>
      </w:pPr>
      <w:r>
        <w:rPr>
          <w:rFonts w:hint="eastAsia" w:ascii="方正小标宋简体" w:hAnsi="黑体" w:eastAsia="方正小标宋简体"/>
          <w:color w:val="000000" w:themeColor="text1"/>
          <w:sz w:val="44"/>
          <w:szCs w:val="44"/>
          <w14:textFill>
            <w14:solidFill>
              <w14:schemeClr w14:val="tx1"/>
            </w14:solidFill>
          </w14:textFill>
        </w:rPr>
        <w:t>汉中市应急管理局减轻处罚事项清单</w:t>
      </w:r>
      <w:r>
        <w:rPr>
          <w:rFonts w:hint="eastAsia" w:ascii="方正小标宋简体" w:hAnsi="黑体" w:eastAsia="方正小标宋简体"/>
          <w:color w:val="000000" w:themeColor="text1"/>
          <w:sz w:val="44"/>
          <w:szCs w:val="44"/>
          <w:lang w:eastAsia="zh-CN"/>
          <w14:textFill>
            <w14:solidFill>
              <w14:schemeClr w14:val="tx1"/>
            </w14:solidFill>
          </w14:textFill>
        </w:rPr>
        <w:t>（</w:t>
      </w:r>
      <w:r>
        <w:rPr>
          <w:rFonts w:hint="eastAsia" w:ascii="方正小标宋简体" w:hAnsi="黑体" w:eastAsia="方正小标宋简体"/>
          <w:color w:val="000000" w:themeColor="text1"/>
          <w:sz w:val="44"/>
          <w:szCs w:val="44"/>
          <w:lang w:val="en-US" w:eastAsia="zh-CN"/>
          <w14:textFill>
            <w14:solidFill>
              <w14:schemeClr w14:val="tx1"/>
            </w14:solidFill>
          </w14:textFill>
        </w:rPr>
        <w:t>修订稿</w:t>
      </w:r>
      <w:r>
        <w:rPr>
          <w:rFonts w:hint="eastAsia" w:ascii="方正小标宋简体" w:hAnsi="黑体" w:eastAsia="方正小标宋简体"/>
          <w:color w:val="000000" w:themeColor="text1"/>
          <w:sz w:val="44"/>
          <w:szCs w:val="44"/>
          <w:lang w:eastAsia="zh-CN"/>
          <w14:textFill>
            <w14:solidFill>
              <w14:schemeClr w14:val="tx1"/>
            </w14:solidFill>
          </w14:textFill>
        </w:rPr>
        <w:t>）</w:t>
      </w:r>
    </w:p>
    <w:p>
      <w:pPr>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单位（公章）：汉中市应急管理局               联系人：                  联系电话：</w:t>
      </w:r>
    </w:p>
    <w:tbl>
      <w:tblPr>
        <w:tblStyle w:val="6"/>
        <w:tblW w:w="1470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2126"/>
        <w:gridCol w:w="1276"/>
        <w:gridCol w:w="1989"/>
        <w:gridCol w:w="7083"/>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9" w:hRule="atLeast"/>
        </w:trPr>
        <w:tc>
          <w:tcPr>
            <w:tcW w:w="534" w:type="dxa"/>
          </w:tcPr>
          <w:p>
            <w:pPr>
              <w:spacing w:line="360" w:lineRule="exact"/>
              <w:jc w:val="center"/>
              <w:rPr>
                <w:rFonts w:hint="eastAsia" w:ascii="黑体" w:hAnsi="黑体" w:eastAsia="黑体" w:cs="黑体"/>
                <w:b w:val="0"/>
                <w:bCs w:val="0"/>
                <w:color w:val="000000" w:themeColor="text1"/>
                <w:spacing w:val="-6"/>
                <w:sz w:val="24"/>
                <w:szCs w:val="24"/>
                <w14:textFill>
                  <w14:solidFill>
                    <w14:schemeClr w14:val="tx1"/>
                  </w14:solidFill>
                </w14:textFill>
              </w:rPr>
            </w:pPr>
            <w:r>
              <w:rPr>
                <w:rFonts w:hint="eastAsia" w:ascii="黑体" w:hAnsi="黑体" w:eastAsia="黑体" w:cs="黑体"/>
                <w:b w:val="0"/>
                <w:bCs w:val="0"/>
                <w:color w:val="000000" w:themeColor="text1"/>
                <w:spacing w:val="-6"/>
                <w:sz w:val="24"/>
                <w:szCs w:val="24"/>
                <w14:textFill>
                  <w14:solidFill>
                    <w14:schemeClr w14:val="tx1"/>
                  </w14:solidFill>
                </w14:textFill>
              </w:rPr>
              <w:t>序号</w:t>
            </w:r>
          </w:p>
        </w:tc>
        <w:tc>
          <w:tcPr>
            <w:tcW w:w="2126" w:type="dxa"/>
          </w:tcPr>
          <w:p>
            <w:pPr>
              <w:spacing w:line="360" w:lineRule="exact"/>
              <w:jc w:val="center"/>
              <w:rPr>
                <w:rFonts w:hint="eastAsia" w:ascii="黑体" w:hAnsi="黑体" w:eastAsia="黑体" w:cs="黑体"/>
                <w:b w:val="0"/>
                <w:bCs w:val="0"/>
                <w:color w:val="000000" w:themeColor="text1"/>
                <w:spacing w:val="-6"/>
                <w:sz w:val="24"/>
                <w:szCs w:val="24"/>
                <w14:textFill>
                  <w14:solidFill>
                    <w14:schemeClr w14:val="tx1"/>
                  </w14:solidFill>
                </w14:textFill>
              </w:rPr>
            </w:pPr>
            <w:r>
              <w:rPr>
                <w:rFonts w:hint="eastAsia" w:ascii="黑体" w:hAnsi="黑体" w:eastAsia="黑体" w:cs="黑体"/>
                <w:b w:val="0"/>
                <w:bCs w:val="0"/>
                <w:color w:val="000000" w:themeColor="text1"/>
                <w:spacing w:val="-6"/>
                <w:sz w:val="24"/>
                <w:szCs w:val="24"/>
                <w14:textFill>
                  <w14:solidFill>
                    <w14:schemeClr w14:val="tx1"/>
                  </w14:solidFill>
                </w14:textFill>
              </w:rPr>
              <w:t>处罚事项</w:t>
            </w:r>
          </w:p>
        </w:tc>
        <w:tc>
          <w:tcPr>
            <w:tcW w:w="1276" w:type="dxa"/>
          </w:tcPr>
          <w:p>
            <w:pPr>
              <w:spacing w:line="360" w:lineRule="exact"/>
              <w:jc w:val="center"/>
              <w:rPr>
                <w:rFonts w:hint="eastAsia" w:ascii="黑体" w:hAnsi="黑体" w:eastAsia="黑体" w:cs="黑体"/>
                <w:b w:val="0"/>
                <w:bCs w:val="0"/>
                <w:color w:val="000000" w:themeColor="text1"/>
                <w:spacing w:val="-6"/>
                <w:sz w:val="24"/>
                <w:szCs w:val="24"/>
                <w14:textFill>
                  <w14:solidFill>
                    <w14:schemeClr w14:val="tx1"/>
                  </w14:solidFill>
                </w14:textFill>
              </w:rPr>
            </w:pPr>
            <w:r>
              <w:rPr>
                <w:rFonts w:hint="eastAsia" w:ascii="黑体" w:hAnsi="黑体" w:eastAsia="黑体" w:cs="黑体"/>
                <w:b w:val="0"/>
                <w:bCs w:val="0"/>
                <w:color w:val="000000" w:themeColor="text1"/>
                <w:spacing w:val="-6"/>
                <w:sz w:val="24"/>
                <w:szCs w:val="24"/>
                <w14:textFill>
                  <w14:solidFill>
                    <w14:schemeClr w14:val="tx1"/>
                  </w14:solidFill>
                </w14:textFill>
              </w:rPr>
              <w:t>处罚事项编码</w:t>
            </w:r>
          </w:p>
        </w:tc>
        <w:tc>
          <w:tcPr>
            <w:tcW w:w="1989" w:type="dxa"/>
          </w:tcPr>
          <w:p>
            <w:pPr>
              <w:spacing w:line="360" w:lineRule="exact"/>
              <w:jc w:val="center"/>
              <w:rPr>
                <w:rFonts w:hint="eastAsia" w:ascii="黑体" w:hAnsi="黑体" w:eastAsia="黑体" w:cs="黑体"/>
                <w:b w:val="0"/>
                <w:bCs w:val="0"/>
                <w:color w:val="000000" w:themeColor="text1"/>
                <w:spacing w:val="-6"/>
                <w:sz w:val="24"/>
                <w:szCs w:val="24"/>
                <w14:textFill>
                  <w14:solidFill>
                    <w14:schemeClr w14:val="tx1"/>
                  </w14:solidFill>
                </w14:textFill>
              </w:rPr>
            </w:pPr>
            <w:r>
              <w:rPr>
                <w:rFonts w:hint="eastAsia" w:ascii="黑体" w:hAnsi="黑体" w:eastAsia="黑体" w:cs="黑体"/>
                <w:b w:val="0"/>
                <w:bCs w:val="0"/>
                <w:color w:val="000000" w:themeColor="text1"/>
                <w:spacing w:val="-6"/>
                <w:sz w:val="24"/>
                <w:szCs w:val="24"/>
                <w14:textFill>
                  <w14:solidFill>
                    <w14:schemeClr w14:val="tx1"/>
                  </w14:solidFill>
                </w14:textFill>
              </w:rPr>
              <w:t>减轻处罚的情形</w:t>
            </w:r>
          </w:p>
        </w:tc>
        <w:tc>
          <w:tcPr>
            <w:tcW w:w="7083" w:type="dxa"/>
          </w:tcPr>
          <w:p>
            <w:pPr>
              <w:spacing w:line="360" w:lineRule="exact"/>
              <w:jc w:val="center"/>
              <w:rPr>
                <w:rFonts w:hint="eastAsia" w:ascii="黑体" w:hAnsi="黑体" w:eastAsia="黑体" w:cs="黑体"/>
                <w:b w:val="0"/>
                <w:bCs w:val="0"/>
                <w:color w:val="000000" w:themeColor="text1"/>
                <w:spacing w:val="-6"/>
                <w:sz w:val="24"/>
                <w:szCs w:val="24"/>
                <w14:textFill>
                  <w14:solidFill>
                    <w14:schemeClr w14:val="tx1"/>
                  </w14:solidFill>
                </w14:textFill>
              </w:rPr>
            </w:pPr>
            <w:r>
              <w:rPr>
                <w:rFonts w:hint="eastAsia" w:ascii="黑体" w:hAnsi="黑体" w:eastAsia="黑体" w:cs="黑体"/>
                <w:b w:val="0"/>
                <w:bCs w:val="0"/>
                <w:color w:val="000000" w:themeColor="text1"/>
                <w:spacing w:val="-6"/>
                <w:sz w:val="24"/>
                <w:szCs w:val="24"/>
                <w14:textFill>
                  <w14:solidFill>
                    <w14:schemeClr w14:val="tx1"/>
                  </w14:solidFill>
                </w14:textFill>
              </w:rPr>
              <w:t>减轻处罚的依据</w:t>
            </w:r>
          </w:p>
        </w:tc>
        <w:tc>
          <w:tcPr>
            <w:tcW w:w="1701" w:type="dxa"/>
          </w:tcPr>
          <w:p>
            <w:pPr>
              <w:spacing w:line="360" w:lineRule="exact"/>
              <w:jc w:val="center"/>
              <w:rPr>
                <w:rFonts w:hint="eastAsia" w:ascii="黑体" w:hAnsi="黑体" w:eastAsia="黑体" w:cs="黑体"/>
                <w:b w:val="0"/>
                <w:bCs w:val="0"/>
                <w:color w:val="000000" w:themeColor="text1"/>
                <w:spacing w:val="-6"/>
                <w:sz w:val="24"/>
                <w:szCs w:val="24"/>
                <w14:textFill>
                  <w14:solidFill>
                    <w14:schemeClr w14:val="tx1"/>
                  </w14:solidFill>
                </w14:textFill>
              </w:rPr>
            </w:pPr>
            <w:r>
              <w:rPr>
                <w:rFonts w:hint="eastAsia" w:ascii="黑体" w:hAnsi="黑体" w:eastAsia="黑体" w:cs="黑体"/>
                <w:b w:val="0"/>
                <w:bCs w:val="0"/>
                <w:color w:val="000000" w:themeColor="text1"/>
                <w:spacing w:val="-6"/>
                <w:sz w:val="24"/>
                <w:szCs w:val="24"/>
                <w14:textFill>
                  <w14:solidFill>
                    <w14:schemeClr w14:val="tx1"/>
                  </w14:solidFill>
                </w14:textFill>
              </w:rPr>
              <w:t>配套监管措施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6" w:hRule="atLeast"/>
        </w:trPr>
        <w:tc>
          <w:tcPr>
            <w:tcW w:w="534" w:type="dxa"/>
          </w:tcPr>
          <w:p>
            <w:pPr>
              <w:spacing w:line="360" w:lineRule="exact"/>
              <w:rPr>
                <w:rFonts w:ascii="宋体" w:hAnsi="宋体" w:eastAsia="宋体"/>
                <w:color w:val="000000" w:themeColor="text1"/>
                <w:spacing w:val="-6"/>
                <w:sz w:val="24"/>
                <w:szCs w:val="24"/>
                <w14:textFill>
                  <w14:solidFill>
                    <w14:schemeClr w14:val="tx1"/>
                  </w14:solidFill>
                </w14:textFill>
              </w:rPr>
            </w:pPr>
          </w:p>
        </w:tc>
        <w:tc>
          <w:tcPr>
            <w:tcW w:w="2126" w:type="dxa"/>
          </w:tcPr>
          <w:p>
            <w:pPr>
              <w:spacing w:line="360" w:lineRule="exact"/>
              <w:rPr>
                <w:rFonts w:hint="eastAsia" w:ascii="宋体" w:hAnsi="宋体" w:eastAsia="宋体"/>
                <w:color w:val="000000" w:themeColor="text1"/>
                <w:spacing w:val="-6"/>
                <w:sz w:val="24"/>
                <w:szCs w:val="24"/>
                <w:lang w:val="en-US" w:eastAsia="zh-CN"/>
                <w14:textFill>
                  <w14:solidFill>
                    <w14:schemeClr w14:val="tx1"/>
                  </w14:solidFill>
                </w14:textFill>
              </w:rPr>
            </w:pPr>
            <w:r>
              <w:rPr>
                <w:rFonts w:hint="eastAsia" w:ascii="宋体" w:hAnsi="宋体" w:eastAsia="宋体"/>
                <w:color w:val="000000" w:themeColor="text1"/>
                <w:spacing w:val="-6"/>
                <w:sz w:val="24"/>
                <w:szCs w:val="24"/>
                <w:lang w:val="en-US" w:eastAsia="zh-CN"/>
                <w14:textFill>
                  <w14:solidFill>
                    <w14:schemeClr w14:val="tx1"/>
                  </w14:solidFill>
                </w14:textFill>
              </w:rPr>
              <w:t>无</w:t>
            </w:r>
          </w:p>
        </w:tc>
        <w:tc>
          <w:tcPr>
            <w:tcW w:w="1276" w:type="dxa"/>
          </w:tcPr>
          <w:p>
            <w:pPr>
              <w:spacing w:line="360" w:lineRule="exact"/>
              <w:rPr>
                <w:rFonts w:ascii="宋体" w:hAnsi="宋体" w:eastAsia="宋体"/>
                <w:color w:val="000000" w:themeColor="text1"/>
                <w:spacing w:val="-6"/>
                <w:sz w:val="24"/>
                <w:szCs w:val="24"/>
                <w14:textFill>
                  <w14:solidFill>
                    <w14:schemeClr w14:val="tx1"/>
                  </w14:solidFill>
                </w14:textFill>
              </w:rPr>
            </w:pPr>
          </w:p>
        </w:tc>
        <w:tc>
          <w:tcPr>
            <w:tcW w:w="1989" w:type="dxa"/>
          </w:tcPr>
          <w:p>
            <w:pPr>
              <w:spacing w:line="360" w:lineRule="exact"/>
              <w:rPr>
                <w:rFonts w:ascii="宋体" w:hAnsi="宋体" w:eastAsia="宋体"/>
                <w:color w:val="000000" w:themeColor="text1"/>
                <w:spacing w:val="-6"/>
                <w:sz w:val="24"/>
                <w:szCs w:val="24"/>
                <w14:textFill>
                  <w14:solidFill>
                    <w14:schemeClr w14:val="tx1"/>
                  </w14:solidFill>
                </w14:textFill>
              </w:rPr>
            </w:pPr>
          </w:p>
        </w:tc>
        <w:tc>
          <w:tcPr>
            <w:tcW w:w="7083" w:type="dxa"/>
          </w:tcPr>
          <w:p>
            <w:pPr>
              <w:pStyle w:val="4"/>
              <w:shd w:val="clear" w:color="auto" w:fill="FFFFFF"/>
              <w:spacing w:before="0" w:beforeAutospacing="0" w:after="0" w:afterAutospacing="0" w:line="360" w:lineRule="exact"/>
              <w:jc w:val="both"/>
              <w:rPr>
                <w:color w:val="000000" w:themeColor="text1"/>
                <w:spacing w:val="-6"/>
                <w14:textFill>
                  <w14:solidFill>
                    <w14:schemeClr w14:val="tx1"/>
                  </w14:solidFill>
                </w14:textFill>
              </w:rPr>
            </w:pPr>
          </w:p>
        </w:tc>
        <w:tc>
          <w:tcPr>
            <w:tcW w:w="1701" w:type="dxa"/>
          </w:tcPr>
          <w:p>
            <w:pPr>
              <w:spacing w:line="360" w:lineRule="exact"/>
              <w:rPr>
                <w:rFonts w:ascii="宋体" w:hAnsi="宋体" w:eastAsia="宋体"/>
                <w:color w:val="000000" w:themeColor="text1"/>
                <w:spacing w:val="-6"/>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6" w:hRule="atLeast"/>
        </w:trPr>
        <w:tc>
          <w:tcPr>
            <w:tcW w:w="534" w:type="dxa"/>
          </w:tcPr>
          <w:p>
            <w:pPr>
              <w:spacing w:line="360" w:lineRule="exact"/>
              <w:rPr>
                <w:rFonts w:ascii="宋体" w:hAnsi="宋体" w:eastAsia="宋体"/>
                <w:color w:val="000000" w:themeColor="text1"/>
                <w:spacing w:val="-6"/>
                <w:sz w:val="24"/>
                <w:szCs w:val="24"/>
                <w14:textFill>
                  <w14:solidFill>
                    <w14:schemeClr w14:val="tx1"/>
                  </w14:solidFill>
                </w14:textFill>
              </w:rPr>
            </w:pPr>
          </w:p>
        </w:tc>
        <w:tc>
          <w:tcPr>
            <w:tcW w:w="2126" w:type="dxa"/>
          </w:tcPr>
          <w:p>
            <w:pPr>
              <w:spacing w:line="360" w:lineRule="exact"/>
              <w:rPr>
                <w:rFonts w:ascii="宋体" w:hAnsi="宋体" w:eastAsia="宋体"/>
                <w:color w:val="000000" w:themeColor="text1"/>
                <w:spacing w:val="-6"/>
                <w:sz w:val="24"/>
                <w:szCs w:val="24"/>
                <w14:textFill>
                  <w14:solidFill>
                    <w14:schemeClr w14:val="tx1"/>
                  </w14:solidFill>
                </w14:textFill>
              </w:rPr>
            </w:pPr>
          </w:p>
        </w:tc>
        <w:tc>
          <w:tcPr>
            <w:tcW w:w="1276" w:type="dxa"/>
          </w:tcPr>
          <w:p>
            <w:pPr>
              <w:spacing w:line="360" w:lineRule="exact"/>
              <w:rPr>
                <w:rFonts w:ascii="宋体" w:hAnsi="宋体" w:eastAsia="宋体"/>
                <w:color w:val="000000" w:themeColor="text1"/>
                <w:spacing w:val="-6"/>
                <w:sz w:val="24"/>
                <w:szCs w:val="24"/>
                <w14:textFill>
                  <w14:solidFill>
                    <w14:schemeClr w14:val="tx1"/>
                  </w14:solidFill>
                </w14:textFill>
              </w:rPr>
            </w:pPr>
          </w:p>
        </w:tc>
        <w:tc>
          <w:tcPr>
            <w:tcW w:w="1989" w:type="dxa"/>
          </w:tcPr>
          <w:p>
            <w:pPr>
              <w:spacing w:line="360" w:lineRule="exact"/>
              <w:rPr>
                <w:rFonts w:ascii="宋体" w:hAnsi="宋体" w:eastAsia="宋体"/>
                <w:color w:val="000000" w:themeColor="text1"/>
                <w:spacing w:val="-6"/>
                <w:sz w:val="24"/>
                <w:szCs w:val="24"/>
                <w14:textFill>
                  <w14:solidFill>
                    <w14:schemeClr w14:val="tx1"/>
                  </w14:solidFill>
                </w14:textFill>
              </w:rPr>
            </w:pPr>
          </w:p>
        </w:tc>
        <w:tc>
          <w:tcPr>
            <w:tcW w:w="7083" w:type="dxa"/>
          </w:tcPr>
          <w:p>
            <w:pPr>
              <w:pStyle w:val="4"/>
              <w:shd w:val="clear" w:color="auto" w:fill="FFFFFF"/>
              <w:spacing w:before="0" w:beforeAutospacing="0" w:after="0" w:afterAutospacing="0" w:line="360" w:lineRule="exact"/>
              <w:rPr>
                <w:color w:val="000000" w:themeColor="text1"/>
                <w:spacing w:val="-6"/>
                <w14:textFill>
                  <w14:solidFill>
                    <w14:schemeClr w14:val="tx1"/>
                  </w14:solidFill>
                </w14:textFill>
              </w:rPr>
            </w:pPr>
          </w:p>
        </w:tc>
        <w:tc>
          <w:tcPr>
            <w:tcW w:w="1701" w:type="dxa"/>
          </w:tcPr>
          <w:p>
            <w:pPr>
              <w:spacing w:line="360" w:lineRule="exact"/>
              <w:rPr>
                <w:rFonts w:ascii="宋体" w:hAnsi="宋体" w:eastAsia="宋体"/>
                <w:color w:val="000000" w:themeColor="text1"/>
                <w:spacing w:val="-6"/>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6" w:hRule="atLeast"/>
        </w:trPr>
        <w:tc>
          <w:tcPr>
            <w:tcW w:w="534" w:type="dxa"/>
          </w:tcPr>
          <w:p>
            <w:pPr>
              <w:spacing w:line="360" w:lineRule="exact"/>
              <w:rPr>
                <w:rFonts w:ascii="宋体" w:hAnsi="宋体" w:eastAsia="宋体"/>
                <w:color w:val="000000" w:themeColor="text1"/>
                <w:spacing w:val="-6"/>
                <w:sz w:val="24"/>
                <w:szCs w:val="24"/>
                <w14:textFill>
                  <w14:solidFill>
                    <w14:schemeClr w14:val="tx1"/>
                  </w14:solidFill>
                </w14:textFill>
              </w:rPr>
            </w:pPr>
          </w:p>
        </w:tc>
        <w:tc>
          <w:tcPr>
            <w:tcW w:w="2126" w:type="dxa"/>
          </w:tcPr>
          <w:p>
            <w:pPr>
              <w:spacing w:line="360" w:lineRule="exact"/>
              <w:rPr>
                <w:rFonts w:ascii="宋体" w:hAnsi="宋体" w:eastAsia="宋体"/>
                <w:color w:val="000000" w:themeColor="text1"/>
                <w:spacing w:val="-6"/>
                <w:sz w:val="24"/>
                <w:szCs w:val="24"/>
                <w14:textFill>
                  <w14:solidFill>
                    <w14:schemeClr w14:val="tx1"/>
                  </w14:solidFill>
                </w14:textFill>
              </w:rPr>
            </w:pPr>
          </w:p>
        </w:tc>
        <w:tc>
          <w:tcPr>
            <w:tcW w:w="1276" w:type="dxa"/>
          </w:tcPr>
          <w:p>
            <w:pPr>
              <w:spacing w:line="360" w:lineRule="exact"/>
              <w:rPr>
                <w:rFonts w:ascii="宋体" w:hAnsi="宋体" w:eastAsia="宋体"/>
                <w:color w:val="000000" w:themeColor="text1"/>
                <w:spacing w:val="-6"/>
                <w:sz w:val="24"/>
                <w:szCs w:val="24"/>
                <w14:textFill>
                  <w14:solidFill>
                    <w14:schemeClr w14:val="tx1"/>
                  </w14:solidFill>
                </w14:textFill>
              </w:rPr>
            </w:pPr>
          </w:p>
        </w:tc>
        <w:tc>
          <w:tcPr>
            <w:tcW w:w="1989" w:type="dxa"/>
          </w:tcPr>
          <w:p>
            <w:pPr>
              <w:spacing w:line="360" w:lineRule="exact"/>
              <w:rPr>
                <w:rFonts w:ascii="宋体" w:hAnsi="宋体" w:eastAsia="宋体"/>
                <w:color w:val="000000" w:themeColor="text1"/>
                <w:spacing w:val="-6"/>
                <w:sz w:val="24"/>
                <w:szCs w:val="24"/>
                <w14:textFill>
                  <w14:solidFill>
                    <w14:schemeClr w14:val="tx1"/>
                  </w14:solidFill>
                </w14:textFill>
              </w:rPr>
            </w:pPr>
          </w:p>
        </w:tc>
        <w:tc>
          <w:tcPr>
            <w:tcW w:w="7083" w:type="dxa"/>
          </w:tcPr>
          <w:p>
            <w:pPr>
              <w:spacing w:line="360" w:lineRule="exact"/>
              <w:rPr>
                <w:rFonts w:ascii="宋体" w:hAnsi="宋体" w:eastAsia="宋体"/>
                <w:color w:val="000000" w:themeColor="text1"/>
                <w:spacing w:val="-6"/>
                <w:sz w:val="24"/>
                <w:szCs w:val="24"/>
                <w14:textFill>
                  <w14:solidFill>
                    <w14:schemeClr w14:val="tx1"/>
                  </w14:solidFill>
                </w14:textFill>
              </w:rPr>
            </w:pPr>
          </w:p>
        </w:tc>
        <w:tc>
          <w:tcPr>
            <w:tcW w:w="1701" w:type="dxa"/>
          </w:tcPr>
          <w:p>
            <w:pPr>
              <w:spacing w:line="360" w:lineRule="exact"/>
              <w:rPr>
                <w:rFonts w:ascii="宋体" w:hAnsi="宋体" w:eastAsia="宋体"/>
                <w:color w:val="000000" w:themeColor="text1"/>
                <w:spacing w:val="-6"/>
                <w:sz w:val="24"/>
                <w:szCs w:val="24"/>
                <w14:textFill>
                  <w14:solidFill>
                    <w14:schemeClr w14:val="tx1"/>
                  </w14:solidFill>
                </w14:textFill>
              </w:rPr>
            </w:pPr>
          </w:p>
        </w:tc>
      </w:tr>
    </w:tbl>
    <w:p>
      <w:pPr>
        <w:pStyle w:val="4"/>
        <w:shd w:val="clear" w:color="auto" w:fill="FFFFFF"/>
        <w:spacing w:before="0" w:beforeAutospacing="0" w:after="0" w:afterAutospacing="0"/>
        <w:rPr>
          <w:rFonts w:ascii="仿宋_GB2312" w:hAnsi="黑体" w:eastAsia="仿宋_GB2312"/>
          <w:b w:val="0"/>
          <w:bCs w:val="0"/>
          <w:color w:val="000000" w:themeColor="text1"/>
          <w:sz w:val="32"/>
          <w:szCs w:val="32"/>
          <w14:textFill>
            <w14:solidFill>
              <w14:schemeClr w14:val="tx1"/>
            </w14:solidFill>
          </w14:textFill>
        </w:rPr>
      </w:pPr>
      <w:r>
        <w:rPr>
          <w:rFonts w:hint="eastAsia"/>
          <w:b w:val="0"/>
          <w:bCs w:val="0"/>
          <w:color w:val="000000" w:themeColor="text1"/>
          <w:sz w:val="32"/>
          <w:szCs w:val="32"/>
          <w:shd w:val="clear" w:color="auto" w:fill="FFFFFF"/>
          <w14:textFill>
            <w14:solidFill>
              <w14:schemeClr w14:val="tx1"/>
            </w14:solidFill>
          </w14:textFill>
        </w:rPr>
        <w:t> </w:t>
      </w:r>
    </w:p>
    <w:p>
      <w:pPr>
        <w:jc w:val="center"/>
        <w:rPr>
          <w:rFonts w:hint="eastAsia" w:ascii="方正小标宋简体" w:hAnsi="黑体" w:eastAsia="方正小标宋简体"/>
          <w:color w:val="000000" w:themeColor="text1"/>
          <w:sz w:val="44"/>
          <w:szCs w:val="44"/>
          <w14:textFill>
            <w14:solidFill>
              <w14:schemeClr w14:val="tx1"/>
            </w14:solidFill>
          </w14:textFill>
        </w:rPr>
      </w:pPr>
    </w:p>
    <w:p>
      <w:pPr>
        <w:jc w:val="center"/>
        <w:rPr>
          <w:rFonts w:hint="eastAsia" w:ascii="方正小标宋简体" w:hAnsi="黑体" w:eastAsia="方正小标宋简体"/>
          <w:color w:val="000000" w:themeColor="text1"/>
          <w:sz w:val="44"/>
          <w:szCs w:val="44"/>
          <w14:textFill>
            <w14:solidFill>
              <w14:schemeClr w14:val="tx1"/>
            </w14:solidFill>
          </w14:textFill>
        </w:rPr>
      </w:pPr>
    </w:p>
    <w:p>
      <w:pPr>
        <w:jc w:val="center"/>
        <w:rPr>
          <w:rFonts w:hint="eastAsia" w:ascii="方正小标宋简体" w:hAnsi="黑体" w:eastAsia="方正小标宋简体"/>
          <w:color w:val="000000" w:themeColor="text1"/>
          <w:sz w:val="44"/>
          <w:szCs w:val="44"/>
          <w14:textFill>
            <w14:solidFill>
              <w14:schemeClr w14:val="tx1"/>
            </w14:solidFill>
          </w14:textFill>
        </w:rPr>
      </w:pPr>
      <w:r>
        <w:rPr>
          <w:rFonts w:hint="eastAsia" w:ascii="方正小标宋简体" w:hAnsi="黑体" w:eastAsia="方正小标宋简体"/>
          <w:color w:val="000000" w:themeColor="text1"/>
          <w:sz w:val="44"/>
          <w:szCs w:val="44"/>
          <w14:textFill>
            <w14:solidFill>
              <w14:schemeClr w14:val="tx1"/>
            </w14:solidFill>
          </w14:textFill>
        </w:rPr>
        <w:t>汉中市应急管理局从轻处罚事项清单</w:t>
      </w:r>
      <w:r>
        <w:rPr>
          <w:rFonts w:hint="eastAsia" w:ascii="方正小标宋简体" w:hAnsi="黑体" w:eastAsia="方正小标宋简体"/>
          <w:color w:val="000000" w:themeColor="text1"/>
          <w:sz w:val="44"/>
          <w:szCs w:val="44"/>
          <w:lang w:eastAsia="zh-CN"/>
          <w14:textFill>
            <w14:solidFill>
              <w14:schemeClr w14:val="tx1"/>
            </w14:solidFill>
          </w14:textFill>
        </w:rPr>
        <w:t>（</w:t>
      </w:r>
      <w:r>
        <w:rPr>
          <w:rFonts w:hint="eastAsia" w:ascii="方正小标宋简体" w:hAnsi="黑体" w:eastAsia="方正小标宋简体"/>
          <w:color w:val="000000" w:themeColor="text1"/>
          <w:sz w:val="44"/>
          <w:szCs w:val="44"/>
          <w:lang w:val="en-US" w:eastAsia="zh-CN"/>
          <w14:textFill>
            <w14:solidFill>
              <w14:schemeClr w14:val="tx1"/>
            </w14:solidFill>
          </w14:textFill>
        </w:rPr>
        <w:t>修订稿</w:t>
      </w:r>
      <w:r>
        <w:rPr>
          <w:rFonts w:hint="eastAsia" w:ascii="方正小标宋简体" w:hAnsi="黑体" w:eastAsia="方正小标宋简体"/>
          <w:color w:val="000000" w:themeColor="text1"/>
          <w:sz w:val="44"/>
          <w:szCs w:val="44"/>
          <w:lang w:eastAsia="zh-CN"/>
          <w14:textFill>
            <w14:solidFill>
              <w14:schemeClr w14:val="tx1"/>
            </w14:solidFill>
          </w14:textFill>
        </w:rPr>
        <w:t>）</w:t>
      </w:r>
    </w:p>
    <w:p>
      <w:pPr>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单位（公章）：汉中市应急管理局               联系人：                       联系电话：</w:t>
      </w:r>
    </w:p>
    <w:tbl>
      <w:tblPr>
        <w:tblStyle w:val="6"/>
        <w:tblW w:w="146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29"/>
        <w:gridCol w:w="1789"/>
        <w:gridCol w:w="1330"/>
        <w:gridCol w:w="1971"/>
        <w:gridCol w:w="7093"/>
        <w:gridCol w:w="17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blHeader/>
        </w:trPr>
        <w:tc>
          <w:tcPr>
            <w:tcW w:w="729" w:type="dxa"/>
            <w:vAlign w:val="center"/>
          </w:tcPr>
          <w:p>
            <w:pPr>
              <w:spacing w:line="3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序号</w:t>
            </w:r>
          </w:p>
        </w:tc>
        <w:tc>
          <w:tcPr>
            <w:tcW w:w="1789" w:type="dxa"/>
            <w:vAlign w:val="center"/>
          </w:tcPr>
          <w:p>
            <w:pPr>
              <w:spacing w:line="3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处罚事项</w:t>
            </w:r>
          </w:p>
        </w:tc>
        <w:tc>
          <w:tcPr>
            <w:tcW w:w="1330" w:type="dxa"/>
            <w:vAlign w:val="center"/>
          </w:tcPr>
          <w:p>
            <w:pPr>
              <w:spacing w:line="3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处罚事项编码</w:t>
            </w:r>
          </w:p>
        </w:tc>
        <w:tc>
          <w:tcPr>
            <w:tcW w:w="1971" w:type="dxa"/>
            <w:vAlign w:val="center"/>
          </w:tcPr>
          <w:p>
            <w:pPr>
              <w:spacing w:line="3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从轻处罚的情形</w:t>
            </w:r>
          </w:p>
        </w:tc>
        <w:tc>
          <w:tcPr>
            <w:tcW w:w="7093" w:type="dxa"/>
            <w:vAlign w:val="center"/>
          </w:tcPr>
          <w:p>
            <w:pPr>
              <w:spacing w:line="3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从轻处罚的依据</w:t>
            </w:r>
          </w:p>
        </w:tc>
        <w:tc>
          <w:tcPr>
            <w:tcW w:w="1784" w:type="dxa"/>
            <w:vAlign w:val="center"/>
          </w:tcPr>
          <w:p>
            <w:pPr>
              <w:spacing w:line="3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配套监管措施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9" w:hRule="atLeast"/>
        </w:trPr>
        <w:tc>
          <w:tcPr>
            <w:tcW w:w="729" w:type="dxa"/>
          </w:tcPr>
          <w:p>
            <w:p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w:t>
            </w:r>
          </w:p>
        </w:tc>
        <w:tc>
          <w:tcPr>
            <w:tcW w:w="1789" w:type="dxa"/>
          </w:tcPr>
          <w:p>
            <w:p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pacing w:val="-14"/>
                <w:sz w:val="24"/>
                <w:szCs w:val="24"/>
                <w:shd w:val="clear" w:color="auto" w:fill="FFFFFF"/>
                <w14:textFill>
                  <w14:solidFill>
                    <w14:schemeClr w14:val="tx1"/>
                  </w14:solidFill>
                </w14:textFill>
              </w:rPr>
              <w:t>生产经营单位未对承包单位、承租单位的安全生产统一协调、管理的。</w:t>
            </w:r>
          </w:p>
        </w:tc>
        <w:tc>
          <w:tcPr>
            <w:tcW w:w="1330" w:type="dxa"/>
          </w:tcPr>
          <w:p>
            <w:pPr>
              <w:spacing w:line="360" w:lineRule="exact"/>
              <w:rPr>
                <w:rFonts w:ascii="宋体" w:hAnsi="宋体" w:eastAsia="宋体"/>
                <w:color w:val="000000" w:themeColor="text1"/>
                <w:sz w:val="24"/>
                <w:szCs w:val="24"/>
                <w14:textFill>
                  <w14:solidFill>
                    <w14:schemeClr w14:val="tx1"/>
                  </w14:solidFill>
                </w14:textFill>
              </w:rPr>
            </w:pPr>
          </w:p>
        </w:tc>
        <w:tc>
          <w:tcPr>
            <w:tcW w:w="1971" w:type="dxa"/>
          </w:tcPr>
          <w:p>
            <w:pPr>
              <w:spacing w:line="360" w:lineRule="exact"/>
              <w:rPr>
                <w:rFonts w:hint="eastAsia" w:ascii="宋体" w:hAnsi="宋体" w:eastAsia="宋体"/>
                <w:color w:val="000000" w:themeColor="text1"/>
                <w:sz w:val="24"/>
                <w:szCs w:val="24"/>
                <w:shd w:val="clear" w:color="auto" w:fill="FFFFFF"/>
                <w14:textFill>
                  <w14:solidFill>
                    <w14:schemeClr w14:val="tx1"/>
                  </w14:solidFill>
                </w14:textFill>
              </w:rPr>
            </w:pPr>
            <w:r>
              <w:rPr>
                <w:rFonts w:hint="eastAsia" w:ascii="宋体" w:hAnsi="宋体" w:eastAsia="宋体"/>
                <w:color w:val="000000" w:themeColor="text1"/>
                <w:sz w:val="24"/>
                <w:szCs w:val="24"/>
                <w:shd w:val="clear" w:color="auto" w:fill="FFFFFF"/>
                <w14:textFill>
                  <w14:solidFill>
                    <w14:schemeClr w14:val="tx1"/>
                  </w14:solidFill>
                </w14:textFill>
              </w:rPr>
              <w:t>非高危生产经营单位</w:t>
            </w:r>
            <w:r>
              <w:rPr>
                <w:rFonts w:hint="eastAsia" w:ascii="宋体" w:hAnsi="宋体" w:eastAsia="宋体"/>
                <w:color w:val="000000" w:themeColor="text1"/>
                <w:spacing w:val="-14"/>
                <w:sz w:val="24"/>
                <w:szCs w:val="24"/>
                <w:shd w:val="clear" w:color="auto" w:fill="FFFFFF"/>
                <w14:textFill>
                  <w14:solidFill>
                    <w14:schemeClr w14:val="tx1"/>
                  </w14:solidFill>
                </w14:textFill>
              </w:rPr>
              <w:t>未对承包单位、承租单位的安全生产统一协调、管理的</w:t>
            </w:r>
            <w:r>
              <w:rPr>
                <w:rFonts w:hint="eastAsia" w:ascii="宋体" w:hAnsi="宋体" w:eastAsia="宋体"/>
                <w:color w:val="000000" w:themeColor="text1"/>
                <w:sz w:val="24"/>
                <w:szCs w:val="24"/>
                <w:shd w:val="clear" w:color="auto" w:fill="FFFFFF"/>
                <w14:textFill>
                  <w14:solidFill>
                    <w14:schemeClr w14:val="tx1"/>
                  </w14:solidFill>
                </w14:textFill>
              </w:rPr>
              <w:t>，属于首次被发现</w:t>
            </w:r>
            <w:r>
              <w:rPr>
                <w:rFonts w:hint="eastAsia" w:ascii="宋体" w:hAnsi="宋体" w:eastAsia="宋体"/>
                <w:color w:val="000000" w:themeColor="text1"/>
                <w:sz w:val="24"/>
                <w:szCs w:val="24"/>
                <w:shd w:val="clear" w:color="auto" w:fill="FFFFFF"/>
                <w:lang w:eastAsia="zh-CN"/>
                <w14:textFill>
                  <w14:solidFill>
                    <w14:schemeClr w14:val="tx1"/>
                  </w14:solidFill>
                </w14:textFill>
              </w:rPr>
              <w:t>，</w:t>
            </w:r>
            <w:r>
              <w:rPr>
                <w:rFonts w:hint="eastAsia" w:ascii="宋体" w:hAnsi="宋体" w:eastAsia="宋体"/>
                <w:color w:val="000000" w:themeColor="text1"/>
                <w:sz w:val="24"/>
                <w:szCs w:val="24"/>
                <w:shd w:val="clear" w:color="auto" w:fill="FFFFFF"/>
                <w:lang w:val="en-US" w:eastAsia="zh-CN"/>
                <w14:textFill>
                  <w14:solidFill>
                    <w14:schemeClr w14:val="tx1"/>
                  </w14:solidFill>
                </w14:textFill>
              </w:rPr>
              <w:t>且</w:t>
            </w:r>
            <w:r>
              <w:rPr>
                <w:rFonts w:hint="eastAsia" w:ascii="宋体" w:hAnsi="宋体" w:eastAsia="宋体"/>
                <w:color w:val="000000" w:themeColor="text1"/>
                <w:sz w:val="24"/>
                <w:szCs w:val="24"/>
                <w:shd w:val="clear" w:color="auto" w:fill="FFFFFF"/>
                <w14:textFill>
                  <w14:solidFill>
                    <w14:schemeClr w14:val="tx1"/>
                  </w14:solidFill>
                </w14:textFill>
              </w:rPr>
              <w:t>未发生生产安全事故，检查发现后能及时改正的</w:t>
            </w:r>
          </w:p>
        </w:tc>
        <w:tc>
          <w:tcPr>
            <w:tcW w:w="7093" w:type="dxa"/>
          </w:tcPr>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1.《中华人民共和国安全生产法》</w:t>
            </w:r>
            <w:r>
              <w:rPr>
                <w:rFonts w:hint="eastAsia"/>
                <w:color w:val="000000" w:themeColor="text1"/>
                <w14:textFill>
                  <w14:solidFill>
                    <w14:schemeClr w14:val="tx1"/>
                  </w14:solidFill>
                </w14:textFill>
              </w:rPr>
              <w:t>第一百零三条第二款 生产经营单位未对承包单位、承租单位的安全生产统一协调、管理的，责令限期改正，处五万元以下的罚款，对其直接负责的主管人员和其他直接责任人员处一万元以下的罚款；逾期未改正的，责令停产停业整顿。</w:t>
            </w:r>
          </w:p>
          <w:p>
            <w:pPr>
              <w:pStyle w:val="4"/>
              <w:shd w:val="clear" w:color="auto" w:fill="FFFFFF"/>
              <w:spacing w:before="0" w:beforeAutospacing="0" w:after="0" w:afterAutospacing="0" w:line="36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2.《中华人民共和国行政处罚法》</w:t>
            </w:r>
            <w:r>
              <w:rPr>
                <w:rFonts w:hint="eastAsia"/>
                <w:color w:val="000000" w:themeColor="text1"/>
                <w14:textFill>
                  <w14:solidFill>
                    <w14:schemeClr w14:val="tx1"/>
                  </w14:solidFill>
                </w14:textFill>
              </w:rPr>
              <w:t>第三十二条  当事人有下列情形之一的，应当依法从轻或者减轻行政处罚：（一）主动消除或者减轻违法行为危害后果的；</w:t>
            </w:r>
          </w:p>
          <w:p>
            <w:pPr>
              <w:pStyle w:val="4"/>
              <w:shd w:val="clear" w:color="auto" w:fill="FFFFFF"/>
              <w:spacing w:before="0" w:beforeAutospacing="0" w:after="0" w:afterAutospacing="0" w:line="360" w:lineRule="exact"/>
              <w:jc w:val="both"/>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3.</w:t>
            </w:r>
            <w:r>
              <w:rPr>
                <w:rFonts w:hint="eastAsia" w:cs="Times New Roman"/>
                <w:b/>
                <w:bCs/>
                <w:color w:val="000000" w:themeColor="text1"/>
                <w14:textFill>
                  <w14:solidFill>
                    <w14:schemeClr w14:val="tx1"/>
                  </w14:solidFill>
                </w14:textFill>
              </w:rPr>
              <w:t>《安全生产行政处罚自由裁量适用规则（试行）》</w:t>
            </w:r>
            <w:r>
              <w:rPr>
                <w:rFonts w:hint="eastAsia"/>
                <w:bCs/>
                <w:color w:val="000000" w:themeColor="text1"/>
                <w14:textFill>
                  <w14:solidFill>
                    <w14:schemeClr w14:val="tx1"/>
                  </w14:solidFill>
                </w14:textFill>
              </w:rPr>
              <w:t>第十四条</w:t>
            </w:r>
            <w:r>
              <w:rPr>
                <w:rFonts w:hint="eastAsia" w:eastAsia="MS Mincho" w:cs="Times New Roman"/>
                <w:color w:val="000000" w:themeColor="text1"/>
                <w14:textFill>
                  <w14:solidFill>
                    <w14:schemeClr w14:val="tx1"/>
                  </w14:solidFill>
                </w14:textFill>
              </w:rPr>
              <w:t>  </w:t>
            </w:r>
            <w:r>
              <w:rPr>
                <w:rFonts w:hint="eastAsia"/>
                <w:color w:val="000000" w:themeColor="text1"/>
                <w14:textFill>
                  <w14:solidFill>
                    <w14:schemeClr w14:val="tx1"/>
                  </w14:solidFill>
                </w14:textFill>
              </w:rPr>
              <w:t>当事人有下列情形之一的，应当依法从轻处罚：（二）主动消除或者减轻安全生产违法行为危害后果的；</w:t>
            </w:r>
          </w:p>
        </w:tc>
        <w:tc>
          <w:tcPr>
            <w:tcW w:w="1784" w:type="dxa"/>
          </w:tcPr>
          <w:p>
            <w:p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预警提示、行政约谈</w:t>
            </w:r>
            <w:r>
              <w:rPr>
                <w:rFonts w:hint="eastAsia" w:ascii="宋体" w:hAnsi="宋体" w:eastAsia="宋体"/>
                <w:color w:val="000000" w:themeColor="text1"/>
                <w:sz w:val="24"/>
                <w:szCs w:val="24"/>
                <w:shd w:val="clear" w:color="auto" w:fill="FFFFFF"/>
                <w14:textFill>
                  <w14:solidFill>
                    <w14:schemeClr w14:val="tx1"/>
                  </w14:solidFill>
                </w14:textFill>
              </w:rPr>
              <w:t>、行政回访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0" w:hRule="atLeast"/>
        </w:trPr>
        <w:tc>
          <w:tcPr>
            <w:tcW w:w="729" w:type="dxa"/>
            <w:vAlign w:val="center"/>
          </w:tcPr>
          <w:p>
            <w:pPr>
              <w:spacing w:line="320" w:lineRule="exac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2</w:t>
            </w:r>
          </w:p>
        </w:tc>
        <w:tc>
          <w:tcPr>
            <w:tcW w:w="1789" w:type="dxa"/>
            <w:vAlign w:val="center"/>
          </w:tcPr>
          <w:p>
            <w:pPr>
              <w:spacing w:line="32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shd w:val="clear" w:color="auto" w:fill="FFFFFF"/>
                <w14:textFill>
                  <w14:solidFill>
                    <w14:schemeClr w14:val="tx1"/>
                  </w14:solidFill>
                </w14:textFill>
              </w:rPr>
              <w:t>生产经营单位未按照规定进行应急预案修订的</w:t>
            </w:r>
          </w:p>
        </w:tc>
        <w:tc>
          <w:tcPr>
            <w:tcW w:w="1330" w:type="dxa"/>
            <w:vAlign w:val="center"/>
          </w:tcPr>
          <w:p>
            <w:pPr>
              <w:spacing w:line="320" w:lineRule="exact"/>
              <w:rPr>
                <w:rFonts w:ascii="宋体" w:hAnsi="宋体" w:eastAsia="宋体"/>
                <w:color w:val="000000" w:themeColor="text1"/>
                <w:sz w:val="24"/>
                <w:szCs w:val="24"/>
                <w14:textFill>
                  <w14:solidFill>
                    <w14:schemeClr w14:val="tx1"/>
                  </w14:solidFill>
                </w14:textFill>
              </w:rPr>
            </w:pPr>
          </w:p>
        </w:tc>
        <w:tc>
          <w:tcPr>
            <w:tcW w:w="1971" w:type="dxa"/>
            <w:vAlign w:val="center"/>
          </w:tcPr>
          <w:p>
            <w:pPr>
              <w:spacing w:line="320" w:lineRule="exact"/>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shd w:val="clear" w:color="auto" w:fill="FFFFFF"/>
                <w14:textFill>
                  <w14:solidFill>
                    <w14:schemeClr w14:val="tx1"/>
                  </w14:solidFill>
                </w14:textFill>
              </w:rPr>
              <w:t>非高危生产经营单位已编制了应急预案</w:t>
            </w:r>
            <w:r>
              <w:rPr>
                <w:rFonts w:hint="eastAsia" w:ascii="宋体" w:hAnsi="宋体" w:eastAsia="宋体"/>
                <w:color w:val="000000" w:themeColor="text1"/>
                <w:sz w:val="24"/>
                <w:szCs w:val="24"/>
                <w:shd w:val="clear" w:color="auto" w:fill="FFFFFF"/>
                <w:lang w:val="en-US" w:eastAsia="zh-CN"/>
                <w14:textFill>
                  <w14:solidFill>
                    <w14:schemeClr w14:val="tx1"/>
                  </w14:solidFill>
                </w14:textFill>
              </w:rPr>
              <w:t>但未按规定进行修订</w:t>
            </w:r>
            <w:r>
              <w:rPr>
                <w:rFonts w:hint="eastAsia" w:ascii="宋体" w:hAnsi="宋体" w:eastAsia="宋体"/>
                <w:color w:val="000000" w:themeColor="text1"/>
                <w:sz w:val="24"/>
                <w:szCs w:val="24"/>
                <w:shd w:val="clear" w:color="auto" w:fill="FFFFFF"/>
                <w14:textFill>
                  <w14:solidFill>
                    <w14:schemeClr w14:val="tx1"/>
                  </w14:solidFill>
                </w14:textFill>
              </w:rPr>
              <w:t>，属于首次被发现</w:t>
            </w:r>
            <w:r>
              <w:rPr>
                <w:rFonts w:hint="eastAsia" w:ascii="宋体" w:hAnsi="宋体" w:eastAsia="宋体"/>
                <w:color w:val="000000" w:themeColor="text1"/>
                <w:sz w:val="24"/>
                <w:szCs w:val="24"/>
                <w:shd w:val="clear" w:color="auto" w:fill="FFFFFF"/>
                <w:lang w:eastAsia="zh-CN"/>
                <w14:textFill>
                  <w14:solidFill>
                    <w14:schemeClr w14:val="tx1"/>
                  </w14:solidFill>
                </w14:textFill>
              </w:rPr>
              <w:t>、</w:t>
            </w:r>
            <w:r>
              <w:rPr>
                <w:rFonts w:hint="eastAsia" w:ascii="宋体" w:hAnsi="宋体" w:eastAsia="宋体"/>
                <w:color w:val="000000" w:themeColor="text1"/>
                <w:sz w:val="24"/>
                <w:szCs w:val="24"/>
                <w:shd w:val="clear" w:color="auto" w:fill="FFFFFF"/>
                <w:lang w:val="en-US" w:eastAsia="zh-CN"/>
                <w14:textFill>
                  <w14:solidFill>
                    <w14:schemeClr w14:val="tx1"/>
                  </w14:solidFill>
                </w14:textFill>
              </w:rPr>
              <w:t>未</w:t>
            </w:r>
            <w:r>
              <w:rPr>
                <w:rFonts w:hint="eastAsia" w:ascii="宋体" w:hAnsi="宋体" w:eastAsia="宋体"/>
                <w:color w:val="000000" w:themeColor="text1"/>
                <w:sz w:val="24"/>
                <w:szCs w:val="24"/>
                <w:shd w:val="clear" w:color="auto" w:fill="FFFFFF"/>
                <w14:textFill>
                  <w14:solidFill>
                    <w14:schemeClr w14:val="tx1"/>
                  </w14:solidFill>
                </w14:textFill>
              </w:rPr>
              <w:t>造成</w:t>
            </w:r>
            <w:r>
              <w:rPr>
                <w:rFonts w:hint="eastAsia" w:ascii="宋体" w:hAnsi="宋体" w:eastAsia="宋体"/>
                <w:color w:val="000000" w:themeColor="text1"/>
                <w:sz w:val="24"/>
                <w:szCs w:val="24"/>
                <w:shd w:val="clear" w:color="auto" w:fill="FFFFFF"/>
                <w:lang w:val="en-US" w:eastAsia="zh-CN"/>
                <w14:textFill>
                  <w14:solidFill>
                    <w14:schemeClr w14:val="tx1"/>
                  </w14:solidFill>
                </w14:textFill>
              </w:rPr>
              <w:t>危害</w:t>
            </w:r>
            <w:r>
              <w:rPr>
                <w:rFonts w:hint="eastAsia" w:ascii="宋体" w:hAnsi="宋体" w:eastAsia="宋体"/>
                <w:color w:val="000000" w:themeColor="text1"/>
                <w:sz w:val="24"/>
                <w:szCs w:val="24"/>
                <w:shd w:val="clear" w:color="auto" w:fill="FFFFFF"/>
                <w14:textFill>
                  <w14:solidFill>
                    <w14:schemeClr w14:val="tx1"/>
                  </w14:solidFill>
                </w14:textFill>
              </w:rPr>
              <w:t>后果</w:t>
            </w:r>
            <w:r>
              <w:rPr>
                <w:rFonts w:hint="eastAsia" w:ascii="宋体" w:hAnsi="宋体" w:eastAsia="宋体"/>
                <w:color w:val="000000" w:themeColor="text1"/>
                <w:sz w:val="24"/>
                <w:szCs w:val="24"/>
                <w:shd w:val="clear" w:color="auto" w:fill="FFFFFF"/>
                <w:lang w:val="en-US" w:eastAsia="zh-CN"/>
                <w14:textFill>
                  <w14:solidFill>
                    <w14:schemeClr w14:val="tx1"/>
                  </w14:solidFill>
                </w14:textFill>
              </w:rPr>
              <w:t>且</w:t>
            </w:r>
            <w:r>
              <w:rPr>
                <w:rFonts w:hint="eastAsia" w:ascii="宋体" w:hAnsi="宋体" w:eastAsia="宋体"/>
                <w:color w:val="000000" w:themeColor="text1"/>
                <w:sz w:val="24"/>
                <w:szCs w:val="24"/>
                <w:shd w:val="clear" w:color="auto" w:fill="FFFFFF"/>
                <w14:textFill>
                  <w14:solidFill>
                    <w14:schemeClr w14:val="tx1"/>
                  </w14:solidFill>
                </w14:textFill>
              </w:rPr>
              <w:t>责令限期改正后及时纠正</w:t>
            </w:r>
            <w:r>
              <w:rPr>
                <w:rFonts w:hint="eastAsia" w:ascii="宋体" w:hAnsi="宋体" w:eastAsia="宋体"/>
                <w:color w:val="000000" w:themeColor="text1"/>
                <w:sz w:val="24"/>
                <w:szCs w:val="24"/>
                <w:shd w:val="clear" w:color="auto" w:fill="FFFFFF"/>
                <w:lang w:val="en-US" w:eastAsia="zh-CN"/>
                <w14:textFill>
                  <w14:solidFill>
                    <w14:schemeClr w14:val="tx1"/>
                  </w14:solidFill>
                </w14:textFill>
              </w:rPr>
              <w:t>的</w:t>
            </w:r>
          </w:p>
        </w:tc>
        <w:tc>
          <w:tcPr>
            <w:tcW w:w="7093" w:type="dxa"/>
            <w:vAlign w:val="center"/>
          </w:tcPr>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1.《生产安全事故应急预案管理办法》</w:t>
            </w:r>
            <w:r>
              <w:rPr>
                <w:rFonts w:hint="eastAsia"/>
                <w:color w:val="000000" w:themeColor="text1"/>
                <w14:textFill>
                  <w14:solidFill>
                    <w14:schemeClr w14:val="tx1"/>
                  </w14:solidFill>
                </w14:textFill>
              </w:rPr>
              <w:t>第四十五条  生产经营单位有下列情形之一的，由县级以上安全生产监督管理部门责令限期改正，可以处1万元以上3万元以下罚款：（</w:t>
            </w:r>
            <w:r>
              <w:rPr>
                <w:rFonts w:hint="eastAsia"/>
                <w:color w:val="000000" w:themeColor="text1"/>
                <w:lang w:val="en-US" w:eastAsia="zh-CN"/>
                <w14:textFill>
                  <w14:solidFill>
                    <w14:schemeClr w14:val="tx1"/>
                  </w14:solidFill>
                </w14:textFill>
              </w:rPr>
              <w:t>五</w:t>
            </w:r>
            <w:r>
              <w:rPr>
                <w:rFonts w:hint="eastAsia"/>
                <w:color w:val="000000" w:themeColor="text1"/>
                <w14:textFill>
                  <w14:solidFill>
                    <w14:schemeClr w14:val="tx1"/>
                  </w14:solidFill>
                </w14:textFill>
              </w:rPr>
              <w:t>）未按照规定进行应急预案修订的。</w:t>
            </w:r>
          </w:p>
          <w:p>
            <w:pPr>
              <w:pStyle w:val="4"/>
              <w:shd w:val="clear" w:color="auto" w:fill="FFFFFF"/>
              <w:spacing w:before="0" w:beforeAutospacing="0" w:after="0" w:afterAutospacing="0" w:line="36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2.《中华人民共和国行政处罚法》</w:t>
            </w:r>
            <w:r>
              <w:rPr>
                <w:rFonts w:hint="eastAsia"/>
                <w:color w:val="000000" w:themeColor="text1"/>
                <w14:textFill>
                  <w14:solidFill>
                    <w14:schemeClr w14:val="tx1"/>
                  </w14:solidFill>
                </w14:textFill>
              </w:rPr>
              <w:t>第三十二条  当事人有下列情形之一的，应当依法从轻或者减轻行政处罚：（一）主动消除或者减轻违法行为危害后果的；</w:t>
            </w:r>
          </w:p>
          <w:p>
            <w:pPr>
              <w:pStyle w:val="4"/>
              <w:shd w:val="clear" w:color="auto" w:fill="FFFFFF"/>
              <w:spacing w:before="0" w:beforeAutospacing="0" w:after="0" w:afterAutospacing="0" w:line="320" w:lineRule="exact"/>
              <w:jc w:val="both"/>
              <w:rPr>
                <w:color w:val="000000" w:themeColor="text1"/>
                <w14:textFill>
                  <w14:solidFill>
                    <w14:schemeClr w14:val="tx1"/>
                  </w14:solidFill>
                </w14:textFill>
              </w:rPr>
            </w:pPr>
            <w:r>
              <w:rPr>
                <w:rStyle w:val="8"/>
                <w:rFonts w:hint="eastAsia"/>
                <w:color w:val="000000" w:themeColor="text1"/>
                <w14:textFill>
                  <w14:solidFill>
                    <w14:schemeClr w14:val="tx1"/>
                  </w14:solidFill>
                </w14:textFill>
              </w:rPr>
              <w:t>3.</w:t>
            </w:r>
            <w:r>
              <w:rPr>
                <w:rFonts w:hint="eastAsia" w:cs="Times New Roman"/>
                <w:b/>
                <w:bCs/>
                <w:color w:val="000000" w:themeColor="text1"/>
                <w14:textFill>
                  <w14:solidFill>
                    <w14:schemeClr w14:val="tx1"/>
                  </w14:solidFill>
                </w14:textFill>
              </w:rPr>
              <w:t>《安全生产行政处罚自由裁量适用规则（试行）》</w:t>
            </w:r>
            <w:r>
              <w:rPr>
                <w:rFonts w:hint="eastAsia"/>
                <w:bCs/>
                <w:color w:val="000000" w:themeColor="text1"/>
                <w14:textFill>
                  <w14:solidFill>
                    <w14:schemeClr w14:val="tx1"/>
                  </w14:solidFill>
                </w14:textFill>
              </w:rPr>
              <w:t>第十四条</w:t>
            </w:r>
            <w:r>
              <w:rPr>
                <w:rFonts w:hint="eastAsia" w:eastAsia="MS Mincho" w:cs="Times New Roman"/>
                <w:color w:val="000000" w:themeColor="text1"/>
                <w14:textFill>
                  <w14:solidFill>
                    <w14:schemeClr w14:val="tx1"/>
                  </w14:solidFill>
                </w14:textFill>
              </w:rPr>
              <w:t>  </w:t>
            </w:r>
            <w:r>
              <w:rPr>
                <w:rFonts w:hint="eastAsia"/>
                <w:color w:val="000000" w:themeColor="text1"/>
                <w14:textFill>
                  <w14:solidFill>
                    <w14:schemeClr w14:val="tx1"/>
                  </w14:solidFill>
                </w14:textFill>
              </w:rPr>
              <w:t>当事人有下列情形之一的，应当依法从轻处罚：（二）主动消除或者减轻安全生产违法行为危害后果的；</w:t>
            </w:r>
          </w:p>
        </w:tc>
        <w:tc>
          <w:tcPr>
            <w:tcW w:w="1784" w:type="dxa"/>
            <w:vAlign w:val="center"/>
          </w:tcPr>
          <w:p>
            <w:pPr>
              <w:spacing w:line="320" w:lineRule="exact"/>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行政指导</w:t>
            </w:r>
            <w:r>
              <w:rPr>
                <w:rFonts w:hint="eastAsia" w:ascii="宋体" w:hAnsi="宋体" w:eastAsia="宋体" w:cs="等线"/>
                <w:color w:val="000000" w:themeColor="text1"/>
                <w:sz w:val="24"/>
                <w:szCs w:val="24"/>
                <w:lang w:eastAsia="zh-CN"/>
                <w14:textFill>
                  <w14:solidFill>
                    <w14:schemeClr w14:val="tx1"/>
                  </w14:solidFill>
                </w14:textFill>
              </w:rPr>
              <w:t>、</w:t>
            </w:r>
            <w:r>
              <w:rPr>
                <w:rFonts w:hint="eastAsia" w:ascii="宋体" w:hAnsi="宋体" w:eastAsia="宋体" w:cs="等线"/>
                <w:color w:val="000000" w:themeColor="text1"/>
                <w:sz w:val="24"/>
                <w:szCs w:val="24"/>
                <w:lang w:val="en-US" w:eastAsia="zh-CN"/>
                <w14:textFill>
                  <w14:solidFill>
                    <w14:schemeClr w14:val="tx1"/>
                  </w14:solidFill>
                </w14:textFill>
              </w:rPr>
              <w:t>行政回访</w:t>
            </w:r>
          </w:p>
        </w:tc>
      </w:tr>
    </w:tbl>
    <w:p>
      <w:pPr>
        <w:rPr>
          <w:rStyle w:val="8"/>
          <w:rFonts w:hint="eastAsia" w:ascii="宋体" w:hAnsi="宋体" w:eastAsia="宋体"/>
          <w:b w:val="0"/>
          <w:color w:val="000000" w:themeColor="text1"/>
          <w:sz w:val="24"/>
          <w:szCs w:val="24"/>
          <w:shd w:val="clear" w:color="auto" w:fill="FFFFFF"/>
          <w14:textFill>
            <w14:solidFill>
              <w14:schemeClr w14:val="tx1"/>
            </w14:solidFill>
          </w14:textFill>
        </w:rPr>
      </w:pPr>
    </w:p>
    <w:p>
      <w:pPr>
        <w:pStyle w:val="4"/>
        <w:spacing w:before="0" w:beforeAutospacing="0" w:after="0" w:afterAutospacing="0" w:line="495" w:lineRule="atLeast"/>
        <w:ind w:firstLine="426"/>
        <w:rPr>
          <w:rFonts w:hint="eastAsia" w:ascii="仿宋_GB2312" w:hAnsi="仿宋_GB2312" w:eastAsia="仿宋_GB2312" w:cs="仿宋_GB2312"/>
          <w:b/>
          <w:color w:val="000000" w:themeColor="text1"/>
          <w:sz w:val="32"/>
          <w:szCs w:val="32"/>
          <w14:textFill>
            <w14:solidFill>
              <w14:schemeClr w14:val="tx1"/>
            </w14:solidFill>
          </w14:textFill>
        </w:rPr>
      </w:pPr>
      <w:r>
        <w:rPr>
          <w:rStyle w:val="8"/>
          <w:rFonts w:hint="eastAsia" w:ascii="仿宋_GB2312" w:hAnsi="仿宋_GB2312" w:eastAsia="仿宋_GB2312" w:cs="仿宋_GB2312"/>
          <w:b/>
          <w:bCs w:val="0"/>
          <w:color w:val="000000" w:themeColor="text1"/>
          <w:sz w:val="32"/>
          <w:szCs w:val="32"/>
          <w:shd w:val="clear" w:color="auto" w:fill="FFFFFF"/>
          <w14:textFill>
            <w14:solidFill>
              <w14:schemeClr w14:val="tx1"/>
            </w14:solidFill>
          </w14:textFill>
        </w:rPr>
        <w:t>说明：</w:t>
      </w:r>
      <w:r>
        <w:rPr>
          <w:rStyle w:val="8"/>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“非高危生产经营单位”是指除矿山、金属冶炼、建筑施工、道路运输单位和危险物品的生产、经营、储存单位以外的其他生产经营单位。</w:t>
      </w:r>
    </w:p>
    <w:p>
      <w:pPr>
        <w:pStyle w:val="4"/>
        <w:spacing w:before="0" w:beforeAutospacing="0" w:after="0" w:afterAutospacing="0" w:line="495" w:lineRule="atLeast"/>
        <w:ind w:firstLine="645"/>
        <w:rPr>
          <w:rFonts w:hint="eastAsia" w:ascii="仿宋_GB2312" w:hAnsi="仿宋_GB2312" w:eastAsia="仿宋_GB2312" w:cs="仿宋_GB2312"/>
          <w:b/>
          <w:color w:val="000000" w:themeColor="text1"/>
          <w:sz w:val="32"/>
          <w:szCs w:val="32"/>
          <w14:textFill>
            <w14:solidFill>
              <w14:schemeClr w14:val="tx1"/>
            </w14:solidFill>
          </w14:textFill>
        </w:rPr>
      </w:pPr>
      <w:r>
        <w:rPr>
          <w:rStyle w:val="8"/>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“首次被发现”是指生产经营单位的该项违法行为自本清单正式施行之日起第一次被安全生产监管部门执法人员发现。</w:t>
      </w:r>
    </w:p>
    <w:p>
      <w:pPr>
        <w:pStyle w:val="4"/>
        <w:spacing w:before="0" w:beforeAutospacing="0" w:after="0" w:afterAutospacing="0" w:line="495" w:lineRule="atLeast"/>
        <w:ind w:firstLine="645"/>
        <w:rPr>
          <w:rFonts w:hint="eastAsia" w:ascii="仿宋_GB2312" w:hAnsi="仿宋_GB2312" w:eastAsia="仿宋_GB2312" w:cs="仿宋_GB2312"/>
          <w:b/>
          <w:color w:val="000000" w:themeColor="text1"/>
          <w:sz w:val="32"/>
          <w:szCs w:val="32"/>
          <w14:textFill>
            <w14:solidFill>
              <w14:schemeClr w14:val="tx1"/>
            </w14:solidFill>
          </w14:textFill>
        </w:rPr>
      </w:pPr>
      <w:r>
        <w:rPr>
          <w:rStyle w:val="8"/>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“违法行为轻微并及时纠正”是指生产经营单位违法行为轻微，并按时限要求完成了违法行为整改，而且经执法人员复查验收符合法律法规和有关标准的要求。</w:t>
      </w:r>
    </w:p>
    <w:p>
      <w:pPr>
        <w:jc w:val="center"/>
        <w:rPr>
          <w:rFonts w:hint="eastAsia" w:ascii="方正小标宋简体" w:hAnsi="黑体" w:eastAsia="方正小标宋简体"/>
          <w:color w:val="000000" w:themeColor="text1"/>
          <w:sz w:val="44"/>
          <w:szCs w:val="44"/>
          <w14:textFill>
            <w14:solidFill>
              <w14:schemeClr w14:val="tx1"/>
            </w14:solidFill>
          </w14:textFill>
        </w:rPr>
      </w:pPr>
      <w:r>
        <w:rPr>
          <w:rStyle w:val="8"/>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“没有造成危害后果”是指没有给公民、法人和其他组织造成任何的财产损失或人员伤亡的后果。</w:t>
      </w:r>
    </w:p>
    <w:p>
      <w:pPr>
        <w:jc w:val="center"/>
        <w:rPr>
          <w:rFonts w:hint="eastAsia" w:ascii="方正小标宋简体" w:hAnsi="黑体" w:eastAsia="方正小标宋简体"/>
          <w:color w:val="000000" w:themeColor="text1"/>
          <w:sz w:val="44"/>
          <w:szCs w:val="44"/>
          <w14:textFill>
            <w14:solidFill>
              <w14:schemeClr w14:val="tx1"/>
            </w14:solidFill>
          </w14:textFill>
        </w:rPr>
      </w:pPr>
    </w:p>
    <w:p>
      <w:pPr>
        <w:jc w:val="center"/>
        <w:rPr>
          <w:rFonts w:hint="eastAsia" w:ascii="方正小标宋简体" w:hAnsi="黑体" w:eastAsia="方正小标宋简体"/>
          <w:color w:val="000000" w:themeColor="text1"/>
          <w:sz w:val="44"/>
          <w:szCs w:val="44"/>
          <w14:textFill>
            <w14:solidFill>
              <w14:schemeClr w14:val="tx1"/>
            </w14:solidFill>
          </w14:textFill>
        </w:rPr>
      </w:pPr>
    </w:p>
    <w:p>
      <w:pPr>
        <w:jc w:val="center"/>
        <w:rPr>
          <w:rFonts w:hint="eastAsia" w:ascii="方正小标宋简体" w:hAnsi="黑体" w:eastAsia="方正小标宋简体"/>
          <w:color w:val="000000" w:themeColor="text1"/>
          <w:sz w:val="44"/>
          <w:szCs w:val="44"/>
          <w14:textFill>
            <w14:solidFill>
              <w14:schemeClr w14:val="tx1"/>
            </w14:solidFill>
          </w14:textFill>
        </w:rPr>
      </w:pPr>
    </w:p>
    <w:p>
      <w:pPr>
        <w:jc w:val="center"/>
        <w:rPr>
          <w:rFonts w:hint="eastAsia" w:ascii="方正小标宋简体" w:hAnsi="黑体" w:eastAsia="方正小标宋简体"/>
          <w:color w:val="000000" w:themeColor="text1"/>
          <w:sz w:val="44"/>
          <w:szCs w:val="44"/>
          <w14:textFill>
            <w14:solidFill>
              <w14:schemeClr w14:val="tx1"/>
            </w14:solidFill>
          </w14:textFill>
        </w:rPr>
      </w:pPr>
      <w:r>
        <w:rPr>
          <w:rFonts w:hint="eastAsia" w:ascii="方正小标宋简体" w:hAnsi="黑体" w:eastAsia="方正小标宋简体"/>
          <w:color w:val="000000" w:themeColor="text1"/>
          <w:sz w:val="44"/>
          <w:szCs w:val="44"/>
          <w14:textFill>
            <w14:solidFill>
              <w14:schemeClr w14:val="tx1"/>
            </w14:solidFill>
          </w14:textFill>
        </w:rPr>
        <w:t>汉中市应急管理局从重处罚事项清单</w:t>
      </w:r>
      <w:r>
        <w:rPr>
          <w:rFonts w:hint="eastAsia" w:ascii="方正小标宋简体" w:hAnsi="黑体" w:eastAsia="方正小标宋简体"/>
          <w:color w:val="000000" w:themeColor="text1"/>
          <w:sz w:val="44"/>
          <w:szCs w:val="44"/>
          <w:lang w:eastAsia="zh-CN"/>
          <w14:textFill>
            <w14:solidFill>
              <w14:schemeClr w14:val="tx1"/>
            </w14:solidFill>
          </w14:textFill>
        </w:rPr>
        <w:t>（</w:t>
      </w:r>
      <w:r>
        <w:rPr>
          <w:rFonts w:hint="eastAsia" w:ascii="方正小标宋简体" w:hAnsi="黑体" w:eastAsia="方正小标宋简体"/>
          <w:color w:val="000000" w:themeColor="text1"/>
          <w:sz w:val="44"/>
          <w:szCs w:val="44"/>
          <w:lang w:val="en-US" w:eastAsia="zh-CN"/>
          <w14:textFill>
            <w14:solidFill>
              <w14:schemeClr w14:val="tx1"/>
            </w14:solidFill>
          </w14:textFill>
        </w:rPr>
        <w:t>修订稿</w:t>
      </w:r>
      <w:r>
        <w:rPr>
          <w:rFonts w:hint="eastAsia" w:ascii="方正小标宋简体" w:hAnsi="黑体" w:eastAsia="方正小标宋简体"/>
          <w:color w:val="000000" w:themeColor="text1"/>
          <w:sz w:val="44"/>
          <w:szCs w:val="44"/>
          <w:lang w:eastAsia="zh-CN"/>
          <w14:textFill>
            <w14:solidFill>
              <w14:schemeClr w14:val="tx1"/>
            </w14:solidFill>
          </w14:textFill>
        </w:rPr>
        <w:t>）</w:t>
      </w:r>
    </w:p>
    <w:p>
      <w:pPr>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单位（公章）：汉中市应急管理局               联系人：                      联系电话：</w:t>
      </w:r>
    </w:p>
    <w:tbl>
      <w:tblPr>
        <w:tblStyle w:val="6"/>
        <w:tblW w:w="1482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2126"/>
        <w:gridCol w:w="1192"/>
        <w:gridCol w:w="2177"/>
        <w:gridCol w:w="7120"/>
        <w:gridCol w:w="16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1" w:hRule="atLeast"/>
          <w:tblHeader/>
        </w:trPr>
        <w:tc>
          <w:tcPr>
            <w:tcW w:w="534" w:type="dxa"/>
            <w:vAlign w:val="center"/>
          </w:tcPr>
          <w:p>
            <w:pPr>
              <w:spacing w:line="3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序号</w:t>
            </w:r>
          </w:p>
        </w:tc>
        <w:tc>
          <w:tcPr>
            <w:tcW w:w="2126" w:type="dxa"/>
            <w:vAlign w:val="center"/>
          </w:tcPr>
          <w:p>
            <w:pPr>
              <w:spacing w:line="3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处罚事项</w:t>
            </w:r>
          </w:p>
        </w:tc>
        <w:tc>
          <w:tcPr>
            <w:tcW w:w="1192" w:type="dxa"/>
            <w:vAlign w:val="center"/>
          </w:tcPr>
          <w:p>
            <w:pPr>
              <w:spacing w:line="3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处罚事项编码</w:t>
            </w:r>
          </w:p>
        </w:tc>
        <w:tc>
          <w:tcPr>
            <w:tcW w:w="2177" w:type="dxa"/>
            <w:vAlign w:val="center"/>
          </w:tcPr>
          <w:p>
            <w:pPr>
              <w:spacing w:line="3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从重处罚的情形</w:t>
            </w:r>
          </w:p>
        </w:tc>
        <w:tc>
          <w:tcPr>
            <w:tcW w:w="7120" w:type="dxa"/>
            <w:vAlign w:val="center"/>
          </w:tcPr>
          <w:p>
            <w:pPr>
              <w:spacing w:line="3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从重处罚的依据</w:t>
            </w:r>
          </w:p>
        </w:tc>
        <w:tc>
          <w:tcPr>
            <w:tcW w:w="1679" w:type="dxa"/>
            <w:vAlign w:val="center"/>
          </w:tcPr>
          <w:p>
            <w:pPr>
              <w:spacing w:line="360" w:lineRule="exact"/>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配套监管措施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534" w:type="dxa"/>
            <w:vAlign w:val="center"/>
          </w:tcPr>
          <w:p>
            <w:pPr>
              <w:spacing w:line="360" w:lineRule="exact"/>
              <w:rPr>
                <w:rFonts w:hint="eastAsia" w:ascii="宋体" w:hAnsi="宋体" w:eastAsia="宋体" w:cs="等线"/>
                <w:color w:val="000000" w:themeColor="text1"/>
                <w:sz w:val="24"/>
                <w:szCs w:val="24"/>
                <w:lang w:eastAsia="zh-CN"/>
                <w14:textFill>
                  <w14:solidFill>
                    <w14:schemeClr w14:val="tx1"/>
                  </w14:solidFill>
                </w14:textFill>
              </w:rPr>
            </w:pPr>
            <w:r>
              <w:rPr>
                <w:rFonts w:hint="eastAsia" w:ascii="宋体" w:hAnsi="宋体" w:eastAsia="宋体" w:cs="等线"/>
                <w:color w:val="000000" w:themeColor="text1"/>
                <w:sz w:val="24"/>
                <w:szCs w:val="24"/>
                <w:lang w:val="en-US" w:eastAsia="zh-CN"/>
                <w14:textFill>
                  <w14:solidFill>
                    <w14:schemeClr w14:val="tx1"/>
                  </w14:solidFill>
                </w14:textFill>
              </w:rPr>
              <w:t>1</w:t>
            </w:r>
          </w:p>
        </w:tc>
        <w:tc>
          <w:tcPr>
            <w:tcW w:w="2126"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生产经营单位拒绝、阻碍负有安全生产监督管理职责的部门依法实施监督检查</w:t>
            </w:r>
          </w:p>
        </w:tc>
        <w:tc>
          <w:tcPr>
            <w:tcW w:w="1192"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p>
        </w:tc>
        <w:tc>
          <w:tcPr>
            <w:tcW w:w="2177"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生产经营单位以主动方式（吵闹、谩骂等）或暴力、威胁的方式拒绝负有安全生产监督管理职责的部门监督检查的</w:t>
            </w:r>
          </w:p>
        </w:tc>
        <w:tc>
          <w:tcPr>
            <w:tcW w:w="7120"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1.《中华人民共和国安全生产法》</w:t>
            </w:r>
            <w:r>
              <w:rPr>
                <w:rFonts w:hint="eastAsia" w:ascii="宋体" w:hAnsi="宋体" w:eastAsia="宋体" w:cs="等线"/>
                <w:color w:val="000000" w:themeColor="text1"/>
                <w:sz w:val="24"/>
                <w:szCs w:val="24"/>
                <w14:textFill>
                  <w14:solidFill>
                    <w14:schemeClr w14:val="tx1"/>
                  </w14:solidFill>
                </w14:textFill>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spacing w:line="360" w:lineRule="exact"/>
              <w:rPr>
                <w:rFonts w:ascii="宋体" w:hAnsi="宋体" w:eastAsia="宋体" w:cs="等线"/>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2.</w:t>
            </w:r>
            <w:r>
              <w:rPr>
                <w:rFonts w:hint="eastAsia" w:ascii="宋体" w:hAnsi="宋体" w:eastAsia="宋体" w:cs="等线"/>
                <w:b/>
                <w:bCs/>
                <w:color w:val="000000" w:themeColor="text1"/>
                <w:sz w:val="24"/>
                <w:szCs w:val="24"/>
                <w14:textFill>
                  <w14:solidFill>
                    <w14:schemeClr w14:val="tx1"/>
                  </w14:solidFill>
                </w14:textFill>
              </w:rPr>
              <w:t>《安全生产行政处罚自由裁量适用规则（试行）》</w:t>
            </w:r>
            <w:r>
              <w:rPr>
                <w:rFonts w:hint="eastAsia" w:ascii="宋体" w:hAnsi="宋体" w:eastAsia="宋体" w:cs="等线"/>
                <w:color w:val="000000" w:themeColor="text1"/>
                <w:sz w:val="24"/>
                <w:szCs w:val="24"/>
                <w14:textFill>
                  <w14:solidFill>
                    <w14:schemeClr w14:val="tx1"/>
                  </w14:solidFill>
                </w14:textFill>
              </w:rPr>
              <w:t>第十五条 当事人有下列情形之一的，应当依法从重处罚：（四）拒绝、阻碍或者以暴力威胁行政执法人员的；</w:t>
            </w:r>
          </w:p>
          <w:p>
            <w:pPr>
              <w:spacing w:line="360" w:lineRule="exact"/>
              <w:rPr>
                <w:rFonts w:ascii="宋体" w:hAnsi="宋体" w:eastAsia="宋体" w:cs="等线"/>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3.</w:t>
            </w:r>
            <w:r>
              <w:rPr>
                <w:rFonts w:hint="eastAsia" w:ascii="宋体" w:hAnsi="宋体" w:eastAsia="宋体" w:cs="等线"/>
                <w:b/>
                <w:bCs/>
                <w:color w:val="000000" w:themeColor="text1"/>
                <w:sz w:val="24"/>
                <w:szCs w:val="24"/>
                <w14:textFill>
                  <w14:solidFill>
                    <w14:schemeClr w14:val="tx1"/>
                  </w14:solidFill>
                </w14:textFill>
              </w:rPr>
              <w:t>《陕西省规范行政处罚自由裁量权规定》</w:t>
            </w:r>
            <w:r>
              <w:rPr>
                <w:rFonts w:hint="eastAsia" w:ascii="宋体" w:hAnsi="宋体" w:eastAsia="宋体" w:cs="等线"/>
                <w:color w:val="000000" w:themeColor="text1"/>
                <w:sz w:val="24"/>
                <w:szCs w:val="24"/>
                <w14:textFill>
                  <w14:solidFill>
                    <w14:schemeClr w14:val="tx1"/>
                  </w14:solidFill>
                </w14:textFill>
              </w:rPr>
              <w:t>第十条 有下列情形之一的，应当予以从重处罚：（二）妨碍执法人员查处违法行为、暴力抗法等尚未构成犯罪的；</w:t>
            </w:r>
          </w:p>
        </w:tc>
        <w:tc>
          <w:tcPr>
            <w:tcW w:w="1679"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挂牌督办、典型案例曝光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3" w:hRule="atLeast"/>
        </w:trPr>
        <w:tc>
          <w:tcPr>
            <w:tcW w:w="534" w:type="dxa"/>
            <w:vAlign w:val="center"/>
          </w:tcPr>
          <w:p>
            <w:pPr>
              <w:spacing w:line="360" w:lineRule="exact"/>
              <w:rPr>
                <w:rFonts w:hint="eastAsia" w:ascii="宋体" w:hAnsi="宋体" w:eastAsia="宋体" w:cs="等线"/>
                <w:color w:val="000000" w:themeColor="text1"/>
                <w:sz w:val="24"/>
                <w:szCs w:val="24"/>
                <w:lang w:eastAsia="zh-CN"/>
                <w14:textFill>
                  <w14:solidFill>
                    <w14:schemeClr w14:val="tx1"/>
                  </w14:solidFill>
                </w14:textFill>
              </w:rPr>
            </w:pPr>
            <w:r>
              <w:rPr>
                <w:rFonts w:hint="eastAsia" w:ascii="宋体" w:hAnsi="宋体" w:eastAsia="宋体" w:cs="等线"/>
                <w:color w:val="000000" w:themeColor="text1"/>
                <w:sz w:val="24"/>
                <w:szCs w:val="24"/>
                <w:lang w:val="en-US" w:eastAsia="zh-CN"/>
                <w14:textFill>
                  <w14:solidFill>
                    <w14:schemeClr w14:val="tx1"/>
                  </w14:solidFill>
                </w14:textFill>
              </w:rPr>
              <w:t>2</w:t>
            </w:r>
          </w:p>
        </w:tc>
        <w:tc>
          <w:tcPr>
            <w:tcW w:w="2126"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生产经营单位未采取措施消除事故隐患的</w:t>
            </w:r>
          </w:p>
        </w:tc>
        <w:tc>
          <w:tcPr>
            <w:tcW w:w="1192"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p>
        </w:tc>
        <w:tc>
          <w:tcPr>
            <w:tcW w:w="2177"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经责令立即消除或者限期消除，生产经营单位拒不执行的</w:t>
            </w:r>
          </w:p>
        </w:tc>
        <w:tc>
          <w:tcPr>
            <w:tcW w:w="7120"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1.《中华人民共和国安全生产法》</w:t>
            </w:r>
            <w:r>
              <w:rPr>
                <w:rStyle w:val="8"/>
                <w:rFonts w:hint="eastAsia" w:ascii="宋体" w:hAnsi="宋体" w:eastAsia="宋体"/>
                <w:b w:val="0"/>
                <w:bCs w:val="0"/>
                <w:color w:val="000000" w:themeColor="text1"/>
                <w:sz w:val="24"/>
                <w:szCs w:val="24"/>
                <w14:textFill>
                  <w14:solidFill>
                    <w14:schemeClr w14:val="tx1"/>
                  </w14:solidFill>
                </w14:textFill>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spacing w:line="360" w:lineRule="exact"/>
              <w:rPr>
                <w:rFonts w:ascii="宋体" w:hAnsi="宋体" w:eastAsia="宋体" w:cs="等线"/>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2.</w:t>
            </w:r>
            <w:r>
              <w:rPr>
                <w:rFonts w:hint="eastAsia" w:ascii="宋体" w:hAnsi="宋体" w:eastAsia="宋体" w:cs="等线"/>
                <w:b/>
                <w:bCs/>
                <w:color w:val="000000" w:themeColor="text1"/>
                <w:sz w:val="24"/>
                <w:szCs w:val="24"/>
                <w14:textFill>
                  <w14:solidFill>
                    <w14:schemeClr w14:val="tx1"/>
                  </w14:solidFill>
                </w14:textFill>
              </w:rPr>
              <w:t>《安全生产行政处罚自由裁量适用规则（试行）》</w:t>
            </w:r>
            <w:r>
              <w:rPr>
                <w:rFonts w:hint="eastAsia" w:ascii="宋体" w:hAnsi="宋体" w:eastAsia="宋体" w:cs="等线"/>
                <w:color w:val="000000" w:themeColor="text1"/>
                <w:sz w:val="24"/>
                <w:szCs w:val="24"/>
                <w14:textFill>
                  <w14:solidFill>
                    <w14:schemeClr w14:val="tx1"/>
                  </w14:solidFill>
                </w14:textFill>
              </w:rPr>
              <w:t>第十五条 当事人有下列情形之一的，应当依法从重处罚：（十）未依法排查治理事故隐患的；</w:t>
            </w:r>
          </w:p>
        </w:tc>
        <w:tc>
          <w:tcPr>
            <w:tcW w:w="1679"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行政约谈、挂牌督办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3" w:hRule="atLeast"/>
        </w:trPr>
        <w:tc>
          <w:tcPr>
            <w:tcW w:w="534" w:type="dxa"/>
            <w:vAlign w:val="center"/>
          </w:tcPr>
          <w:p>
            <w:pPr>
              <w:spacing w:line="360" w:lineRule="exact"/>
              <w:rPr>
                <w:rFonts w:hint="eastAsia" w:ascii="宋体" w:hAnsi="宋体" w:eastAsia="宋体" w:cs="等线"/>
                <w:color w:val="000000" w:themeColor="text1"/>
                <w:sz w:val="24"/>
                <w:szCs w:val="24"/>
                <w:lang w:eastAsia="zh-CN"/>
                <w14:textFill>
                  <w14:solidFill>
                    <w14:schemeClr w14:val="tx1"/>
                  </w14:solidFill>
                </w14:textFill>
              </w:rPr>
            </w:pPr>
            <w:r>
              <w:rPr>
                <w:rFonts w:hint="eastAsia" w:ascii="宋体" w:hAnsi="宋体" w:eastAsia="宋体" w:cs="等线"/>
                <w:color w:val="000000" w:themeColor="text1"/>
                <w:sz w:val="24"/>
                <w:szCs w:val="24"/>
                <w:lang w:val="en-US" w:eastAsia="zh-CN"/>
                <w14:textFill>
                  <w14:solidFill>
                    <w14:schemeClr w14:val="tx1"/>
                  </w14:solidFill>
                </w14:textFill>
              </w:rPr>
              <w:t>3</w:t>
            </w:r>
          </w:p>
        </w:tc>
        <w:tc>
          <w:tcPr>
            <w:tcW w:w="2126"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违章指挥从业人员或者强令从业人员违章、冒险作业的</w:t>
            </w:r>
          </w:p>
        </w:tc>
        <w:tc>
          <w:tcPr>
            <w:tcW w:w="1192"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p>
        </w:tc>
        <w:tc>
          <w:tcPr>
            <w:tcW w:w="2177"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故意实施违法行为的</w:t>
            </w:r>
          </w:p>
        </w:tc>
        <w:tc>
          <w:tcPr>
            <w:tcW w:w="7120"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1.</w:t>
            </w:r>
            <w:r>
              <w:rPr>
                <w:rFonts w:hint="eastAsia" w:ascii="宋体" w:hAnsi="宋体" w:eastAsia="宋体" w:cs="等线"/>
                <w:b/>
                <w:bCs/>
                <w:color w:val="000000" w:themeColor="text1"/>
                <w:sz w:val="24"/>
                <w:szCs w:val="24"/>
                <w14:textFill>
                  <w14:solidFill>
                    <w14:schemeClr w14:val="tx1"/>
                  </w14:solidFill>
                </w14:textFill>
              </w:rPr>
              <w:t>《安全生产行政处罚自由裁量适用规则（试行）》</w:t>
            </w:r>
            <w:r>
              <w:rPr>
                <w:rFonts w:hint="eastAsia" w:ascii="宋体" w:hAnsi="宋体" w:eastAsia="宋体" w:cs="等线"/>
                <w:color w:val="000000" w:themeColor="text1"/>
                <w:sz w:val="24"/>
                <w:szCs w:val="24"/>
                <w14:textFill>
                  <w14:solidFill>
                    <w14:schemeClr w14:val="tx1"/>
                  </w14:solidFill>
                </w14:textFill>
              </w:rPr>
              <w:t>第十五条 当事人有下列情形之一的，应当依法从重处罚：（八）故意实施违法行为的；</w:t>
            </w:r>
            <w:r>
              <w:rPr>
                <w:rStyle w:val="8"/>
                <w:rFonts w:hint="eastAsia" w:ascii="宋体" w:hAnsi="宋体" w:eastAsia="宋体"/>
                <w:color w:val="000000" w:themeColor="text1"/>
                <w:sz w:val="24"/>
                <w:szCs w:val="24"/>
                <w14:textFill>
                  <w14:solidFill>
                    <w14:schemeClr w14:val="tx1"/>
                  </w14:solidFill>
                </w14:textFill>
              </w:rPr>
              <w:t>2.</w:t>
            </w:r>
            <w:r>
              <w:rPr>
                <w:rFonts w:hint="eastAsia" w:ascii="宋体" w:hAnsi="宋体" w:eastAsia="宋体" w:cs="等线"/>
                <w:b/>
                <w:bCs/>
                <w:color w:val="000000" w:themeColor="text1"/>
                <w:sz w:val="24"/>
                <w:szCs w:val="24"/>
                <w14:textFill>
                  <w14:solidFill>
                    <w14:schemeClr w14:val="tx1"/>
                  </w14:solidFill>
                </w14:textFill>
              </w:rPr>
              <w:t>《陕西省规范行政处罚自由裁量权规定》</w:t>
            </w:r>
            <w:r>
              <w:rPr>
                <w:rFonts w:hint="eastAsia" w:ascii="宋体" w:hAnsi="宋体" w:eastAsia="宋体" w:cs="等线"/>
                <w:color w:val="000000" w:themeColor="text1"/>
                <w:sz w:val="24"/>
                <w:szCs w:val="24"/>
                <w14:textFill>
                  <w14:solidFill>
                    <w14:schemeClr w14:val="tx1"/>
                  </w14:solidFill>
                </w14:textFill>
              </w:rPr>
              <w:t>第十条 有下列情形之一的，应当予以从重处罚：（六）胁迫、诱骗他人或者教唆未成年人实施违法行为的；</w:t>
            </w:r>
          </w:p>
        </w:tc>
        <w:tc>
          <w:tcPr>
            <w:tcW w:w="1679"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失信惩戒、典型案例曝光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 w:hRule="atLeast"/>
        </w:trPr>
        <w:tc>
          <w:tcPr>
            <w:tcW w:w="534" w:type="dxa"/>
            <w:vAlign w:val="center"/>
          </w:tcPr>
          <w:p>
            <w:pPr>
              <w:spacing w:line="360" w:lineRule="exact"/>
              <w:rPr>
                <w:rFonts w:hint="eastAsia" w:ascii="宋体" w:hAnsi="宋体" w:eastAsia="宋体" w:cs="等线"/>
                <w:color w:val="000000" w:themeColor="text1"/>
                <w:sz w:val="24"/>
                <w:szCs w:val="24"/>
                <w:lang w:eastAsia="zh-CN"/>
                <w14:textFill>
                  <w14:solidFill>
                    <w14:schemeClr w14:val="tx1"/>
                  </w14:solidFill>
                </w14:textFill>
              </w:rPr>
            </w:pPr>
            <w:r>
              <w:rPr>
                <w:rFonts w:hint="eastAsia" w:ascii="宋体" w:hAnsi="宋体" w:eastAsia="宋体" w:cs="等线"/>
                <w:color w:val="000000" w:themeColor="text1"/>
                <w:sz w:val="24"/>
                <w:szCs w:val="24"/>
                <w:lang w:val="en-US" w:eastAsia="zh-CN"/>
                <w14:textFill>
                  <w14:solidFill>
                    <w14:schemeClr w14:val="tx1"/>
                  </w14:solidFill>
                </w14:textFill>
              </w:rPr>
              <w:t>4</w:t>
            </w:r>
          </w:p>
        </w:tc>
        <w:tc>
          <w:tcPr>
            <w:tcW w:w="2126"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对被查封或者扣押的设施、设备、器材、危险物品和作业场所，擅自启封或者使用的</w:t>
            </w:r>
          </w:p>
        </w:tc>
        <w:tc>
          <w:tcPr>
            <w:tcW w:w="1192"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p>
        </w:tc>
        <w:tc>
          <w:tcPr>
            <w:tcW w:w="2177"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拒绝、阻碍或者以暴力威胁行政执法人员的</w:t>
            </w:r>
          </w:p>
        </w:tc>
        <w:tc>
          <w:tcPr>
            <w:tcW w:w="7120" w:type="dxa"/>
            <w:vAlign w:val="center"/>
          </w:tcPr>
          <w:p>
            <w:pPr>
              <w:spacing w:line="360" w:lineRule="exact"/>
              <w:rPr>
                <w:rStyle w:val="8"/>
                <w:rFonts w:ascii="宋体" w:hAnsi="宋体" w:eastAsia="宋体"/>
                <w:b w:val="0"/>
                <w:bCs w:val="0"/>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1.《中华人民共和国安全生产法》</w:t>
            </w:r>
            <w:r>
              <w:rPr>
                <w:rStyle w:val="8"/>
                <w:rFonts w:hint="eastAsia" w:ascii="宋体" w:hAnsi="宋体" w:eastAsia="宋体"/>
                <w:b w:val="0"/>
                <w:bCs w:val="0"/>
                <w:color w:val="000000" w:themeColor="text1"/>
                <w:sz w:val="24"/>
                <w:szCs w:val="24"/>
                <w14:textFill>
                  <w14:solidFill>
                    <w14:schemeClr w14:val="tx1"/>
                  </w14:solidFill>
                </w14:textFill>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spacing w:line="360" w:lineRule="exact"/>
              <w:rPr>
                <w:rFonts w:ascii="宋体" w:hAnsi="宋体" w:eastAsia="宋体" w:cs="等线"/>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2.</w:t>
            </w:r>
            <w:r>
              <w:rPr>
                <w:rFonts w:hint="eastAsia" w:ascii="宋体" w:hAnsi="宋体" w:eastAsia="宋体" w:cs="等线"/>
                <w:b/>
                <w:bCs/>
                <w:color w:val="000000" w:themeColor="text1"/>
                <w:sz w:val="24"/>
                <w:szCs w:val="24"/>
                <w14:textFill>
                  <w14:solidFill>
                    <w14:schemeClr w14:val="tx1"/>
                  </w14:solidFill>
                </w14:textFill>
              </w:rPr>
              <w:t>《安全生产行政处罚自由裁量适用规则（试行）》</w:t>
            </w:r>
            <w:r>
              <w:rPr>
                <w:rFonts w:hint="eastAsia" w:ascii="宋体" w:hAnsi="宋体" w:eastAsia="宋体" w:cs="等线"/>
                <w:color w:val="000000" w:themeColor="text1"/>
                <w:sz w:val="24"/>
                <w:szCs w:val="24"/>
                <w14:textFill>
                  <w14:solidFill>
                    <w14:schemeClr w14:val="tx1"/>
                  </w14:solidFill>
                </w14:textFill>
              </w:rPr>
              <w:t>第十五条 当事人有下列情形之一的，应当依法从重处罚：（四）拒绝、阻碍或者以暴力威胁行政执法人员的；</w:t>
            </w:r>
          </w:p>
          <w:p>
            <w:pPr>
              <w:spacing w:line="360" w:lineRule="exact"/>
              <w:rPr>
                <w:rFonts w:ascii="宋体" w:hAnsi="宋体" w:eastAsia="宋体" w:cs="等线"/>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3.</w:t>
            </w:r>
            <w:r>
              <w:rPr>
                <w:rFonts w:hint="eastAsia" w:ascii="宋体" w:hAnsi="宋体" w:eastAsia="宋体" w:cs="等线"/>
                <w:b/>
                <w:bCs/>
                <w:color w:val="000000" w:themeColor="text1"/>
                <w:sz w:val="24"/>
                <w:szCs w:val="24"/>
                <w14:textFill>
                  <w14:solidFill>
                    <w14:schemeClr w14:val="tx1"/>
                  </w14:solidFill>
                </w14:textFill>
              </w:rPr>
              <w:t>《陕西省规范行政处罚自由裁量权规定》</w:t>
            </w:r>
            <w:r>
              <w:rPr>
                <w:rFonts w:hint="eastAsia" w:ascii="宋体" w:hAnsi="宋体" w:eastAsia="宋体" w:cs="等线"/>
                <w:color w:val="000000" w:themeColor="text1"/>
                <w:sz w:val="24"/>
                <w:szCs w:val="24"/>
                <w14:textFill>
                  <w14:solidFill>
                    <w14:schemeClr w14:val="tx1"/>
                  </w14:solidFill>
                </w14:textFill>
              </w:rPr>
              <w:t>第十条 有下列情形之一的，应当予以从重处罚：（二）妨碍执法人员查处违法行为、暴力抗法等尚未构成犯罪的；</w:t>
            </w:r>
          </w:p>
        </w:tc>
        <w:tc>
          <w:tcPr>
            <w:tcW w:w="1679"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挂牌督办、典型案例曝光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3" w:hRule="atLeast"/>
        </w:trPr>
        <w:tc>
          <w:tcPr>
            <w:tcW w:w="534" w:type="dxa"/>
            <w:vAlign w:val="center"/>
          </w:tcPr>
          <w:p>
            <w:pPr>
              <w:spacing w:line="360" w:lineRule="exact"/>
              <w:rPr>
                <w:rFonts w:hint="eastAsia" w:ascii="宋体" w:hAnsi="宋体" w:eastAsia="宋体" w:cs="等线"/>
                <w:color w:val="000000" w:themeColor="text1"/>
                <w:sz w:val="24"/>
                <w:szCs w:val="24"/>
                <w:lang w:eastAsia="zh-CN"/>
                <w14:textFill>
                  <w14:solidFill>
                    <w14:schemeClr w14:val="tx1"/>
                  </w14:solidFill>
                </w14:textFill>
              </w:rPr>
            </w:pPr>
            <w:r>
              <w:rPr>
                <w:rFonts w:hint="eastAsia" w:ascii="宋体" w:hAnsi="宋体" w:eastAsia="宋体" w:cs="等线"/>
                <w:color w:val="000000" w:themeColor="text1"/>
                <w:sz w:val="24"/>
                <w:szCs w:val="24"/>
                <w:lang w:val="en-US" w:eastAsia="zh-CN"/>
                <w14:textFill>
                  <w14:solidFill>
                    <w14:schemeClr w14:val="tx1"/>
                  </w14:solidFill>
                </w14:textFill>
              </w:rPr>
              <w:t>5</w:t>
            </w:r>
          </w:p>
        </w:tc>
        <w:tc>
          <w:tcPr>
            <w:tcW w:w="2126"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拒不执行安全监管监察部门依法下达的安全监管监察指令的</w:t>
            </w:r>
          </w:p>
        </w:tc>
        <w:tc>
          <w:tcPr>
            <w:tcW w:w="1192"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p>
        </w:tc>
        <w:tc>
          <w:tcPr>
            <w:tcW w:w="2177"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拒绝、阻碍或者以暴力威胁行政执法人员的</w:t>
            </w:r>
          </w:p>
        </w:tc>
        <w:tc>
          <w:tcPr>
            <w:tcW w:w="7120" w:type="dxa"/>
            <w:vAlign w:val="center"/>
          </w:tcPr>
          <w:p>
            <w:pPr>
              <w:spacing w:line="360" w:lineRule="exact"/>
              <w:rPr>
                <w:rStyle w:val="8"/>
                <w:rFonts w:ascii="宋体" w:hAnsi="宋体" w:eastAsia="宋体"/>
                <w:b w:val="0"/>
                <w:bCs w:val="0"/>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1.《中华人民共和国安全生产法》</w:t>
            </w:r>
            <w:r>
              <w:rPr>
                <w:rStyle w:val="8"/>
                <w:rFonts w:hint="eastAsia" w:ascii="宋体" w:hAnsi="宋体" w:eastAsia="宋体"/>
                <w:b w:val="0"/>
                <w:bCs w:val="0"/>
                <w:color w:val="000000" w:themeColor="text1"/>
                <w:sz w:val="24"/>
                <w:szCs w:val="24"/>
                <w14:textFill>
                  <w14:solidFill>
                    <w14:schemeClr w14:val="tx1"/>
                  </w14:solidFill>
                </w14:textFill>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spacing w:line="360" w:lineRule="exact"/>
              <w:rPr>
                <w:rFonts w:ascii="宋体" w:hAnsi="宋体" w:eastAsia="宋体" w:cs="等线"/>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2.</w:t>
            </w:r>
            <w:r>
              <w:rPr>
                <w:rFonts w:hint="eastAsia" w:ascii="宋体" w:hAnsi="宋体" w:eastAsia="宋体" w:cs="等线"/>
                <w:b/>
                <w:bCs/>
                <w:color w:val="000000" w:themeColor="text1"/>
                <w:sz w:val="24"/>
                <w:szCs w:val="24"/>
                <w14:textFill>
                  <w14:solidFill>
                    <w14:schemeClr w14:val="tx1"/>
                  </w14:solidFill>
                </w14:textFill>
              </w:rPr>
              <w:t>《安全生产行政处罚自由裁量适用规则（试行）》</w:t>
            </w:r>
            <w:r>
              <w:rPr>
                <w:rFonts w:hint="eastAsia" w:ascii="宋体" w:hAnsi="宋体" w:eastAsia="宋体" w:cs="等线"/>
                <w:color w:val="000000" w:themeColor="text1"/>
                <w:sz w:val="24"/>
                <w:szCs w:val="24"/>
                <w14:textFill>
                  <w14:solidFill>
                    <w14:schemeClr w14:val="tx1"/>
                  </w14:solidFill>
                </w14:textFill>
              </w:rPr>
              <w:t>第十五条 当事人有下列情形之一的，应当依法从重处罚：（四）拒绝、阻碍或者以暴力威胁行政执法人员的；</w:t>
            </w:r>
          </w:p>
          <w:p>
            <w:pPr>
              <w:spacing w:line="360" w:lineRule="exact"/>
              <w:rPr>
                <w:rFonts w:ascii="宋体" w:hAnsi="宋体" w:eastAsia="宋体" w:cs="等线"/>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3.</w:t>
            </w:r>
            <w:r>
              <w:rPr>
                <w:rFonts w:hint="eastAsia" w:ascii="宋体" w:hAnsi="宋体" w:eastAsia="宋体" w:cs="等线"/>
                <w:b/>
                <w:bCs/>
                <w:color w:val="000000" w:themeColor="text1"/>
                <w:sz w:val="24"/>
                <w:szCs w:val="24"/>
                <w14:textFill>
                  <w14:solidFill>
                    <w14:schemeClr w14:val="tx1"/>
                  </w14:solidFill>
                </w14:textFill>
              </w:rPr>
              <w:t>《陕西省规范行政处罚自由裁量权规定》</w:t>
            </w:r>
            <w:r>
              <w:rPr>
                <w:rFonts w:hint="eastAsia" w:ascii="宋体" w:hAnsi="宋体" w:eastAsia="宋体" w:cs="等线"/>
                <w:color w:val="000000" w:themeColor="text1"/>
                <w:sz w:val="24"/>
                <w:szCs w:val="24"/>
                <w14:textFill>
                  <w14:solidFill>
                    <w14:schemeClr w14:val="tx1"/>
                  </w14:solidFill>
                </w14:textFill>
              </w:rPr>
              <w:t>第十条 有下列情形之一的，应当予以从重处罚：（二）妨碍执法人员查处违法行为、暴力抗法等尚未构成犯罪的；</w:t>
            </w:r>
          </w:p>
        </w:tc>
        <w:tc>
          <w:tcPr>
            <w:tcW w:w="1679"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挂牌督办、典型案例曝光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8" w:hRule="atLeast"/>
        </w:trPr>
        <w:tc>
          <w:tcPr>
            <w:tcW w:w="534" w:type="dxa"/>
            <w:vAlign w:val="center"/>
          </w:tcPr>
          <w:p>
            <w:pPr>
              <w:spacing w:line="360" w:lineRule="exact"/>
              <w:rPr>
                <w:rFonts w:hint="eastAsia" w:ascii="宋体" w:hAnsi="宋体" w:eastAsia="宋体" w:cs="等线"/>
                <w:color w:val="000000" w:themeColor="text1"/>
                <w:sz w:val="24"/>
                <w:szCs w:val="24"/>
                <w:lang w:eastAsia="zh-CN"/>
                <w14:textFill>
                  <w14:solidFill>
                    <w14:schemeClr w14:val="tx1"/>
                  </w14:solidFill>
                </w14:textFill>
              </w:rPr>
            </w:pPr>
            <w:r>
              <w:rPr>
                <w:rFonts w:hint="eastAsia" w:ascii="宋体" w:hAnsi="宋体" w:eastAsia="宋体" w:cs="等线"/>
                <w:color w:val="000000" w:themeColor="text1"/>
                <w:sz w:val="24"/>
                <w:szCs w:val="24"/>
                <w:lang w:val="en-US" w:eastAsia="zh-CN"/>
                <w14:textFill>
                  <w14:solidFill>
                    <w14:schemeClr w14:val="tx1"/>
                  </w14:solidFill>
                </w14:textFill>
              </w:rPr>
              <w:t>6</w:t>
            </w:r>
          </w:p>
        </w:tc>
        <w:tc>
          <w:tcPr>
            <w:tcW w:w="2126"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承担安全评价、检测检验工作的机构，出具虚假证明的</w:t>
            </w:r>
          </w:p>
        </w:tc>
        <w:tc>
          <w:tcPr>
            <w:tcW w:w="1192"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p>
        </w:tc>
        <w:tc>
          <w:tcPr>
            <w:tcW w:w="2177"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故意实施违法行为的</w:t>
            </w:r>
          </w:p>
        </w:tc>
        <w:tc>
          <w:tcPr>
            <w:tcW w:w="7120" w:type="dxa"/>
            <w:vAlign w:val="center"/>
          </w:tcPr>
          <w:p>
            <w:pPr>
              <w:spacing w:line="360" w:lineRule="exact"/>
              <w:rPr>
                <w:rStyle w:val="8"/>
                <w:rFonts w:ascii="宋体" w:hAnsi="宋体" w:eastAsia="宋体"/>
                <w:b w:val="0"/>
                <w:bCs w:val="0"/>
                <w:color w:val="000000" w:themeColor="text1"/>
                <w:spacing w:val="-8"/>
                <w:sz w:val="24"/>
                <w:szCs w:val="24"/>
                <w14:textFill>
                  <w14:solidFill>
                    <w14:schemeClr w14:val="tx1"/>
                  </w14:solidFill>
                </w14:textFill>
              </w:rPr>
            </w:pPr>
            <w:r>
              <w:rPr>
                <w:rStyle w:val="8"/>
                <w:rFonts w:hint="eastAsia" w:ascii="宋体" w:hAnsi="宋体" w:eastAsia="宋体"/>
                <w:color w:val="000000" w:themeColor="text1"/>
                <w:spacing w:val="-8"/>
                <w:sz w:val="24"/>
                <w:szCs w:val="24"/>
                <w14:textFill>
                  <w14:solidFill>
                    <w14:schemeClr w14:val="tx1"/>
                  </w14:solidFill>
                </w14:textFill>
              </w:rPr>
              <w:t>1.《中华人民共和国安全生产法》</w:t>
            </w:r>
            <w:r>
              <w:rPr>
                <w:rStyle w:val="8"/>
                <w:rFonts w:hint="eastAsia" w:ascii="宋体" w:hAnsi="宋体" w:eastAsia="宋体"/>
                <w:b w:val="0"/>
                <w:bCs w:val="0"/>
                <w:color w:val="000000" w:themeColor="text1"/>
                <w:spacing w:val="-8"/>
                <w:sz w:val="24"/>
                <w:szCs w:val="24"/>
                <w14:textFill>
                  <w14:solidFill>
                    <w14:schemeClr w14:val="tx1"/>
                  </w14:solidFill>
                </w14:textFill>
              </w:rPr>
              <w:t>第九十二条　承担安全评价、认证、检测、检验职责的机构出具失实报告的，责令停业整顿，并处三万元以上十万元以下的罚款；给他人造成损害的，依法承担赔偿责任。</w:t>
            </w:r>
          </w:p>
          <w:p>
            <w:pPr>
              <w:spacing w:line="360" w:lineRule="exact"/>
              <w:ind w:firstLine="480" w:firstLineChars="200"/>
              <w:rPr>
                <w:rStyle w:val="8"/>
                <w:rFonts w:ascii="宋体" w:hAnsi="宋体" w:eastAsia="宋体"/>
                <w:b w:val="0"/>
                <w:bCs w:val="0"/>
                <w:color w:val="000000" w:themeColor="text1"/>
                <w:sz w:val="24"/>
                <w:szCs w:val="24"/>
                <w14:textFill>
                  <w14:solidFill>
                    <w14:schemeClr w14:val="tx1"/>
                  </w14:solidFill>
                </w14:textFill>
              </w:rPr>
            </w:pPr>
            <w:r>
              <w:rPr>
                <w:rStyle w:val="8"/>
                <w:rFonts w:hint="eastAsia" w:ascii="宋体" w:hAnsi="宋体" w:eastAsia="宋体"/>
                <w:b w:val="0"/>
                <w:bCs w:val="0"/>
                <w:color w:val="000000" w:themeColor="text1"/>
                <w:sz w:val="24"/>
                <w:szCs w:val="24"/>
                <w14:textFill>
                  <w14:solidFill>
                    <w14:schemeClr w14:val="tx1"/>
                  </w14:solidFill>
                </w14:textFill>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spacing w:line="360" w:lineRule="exact"/>
              <w:rPr>
                <w:rStyle w:val="8"/>
                <w:rFonts w:ascii="宋体" w:hAnsi="宋体" w:eastAsia="宋体"/>
                <w:b w:val="0"/>
                <w:bCs w:val="0"/>
                <w:color w:val="000000" w:themeColor="text1"/>
                <w:sz w:val="24"/>
                <w:szCs w:val="24"/>
                <w14:textFill>
                  <w14:solidFill>
                    <w14:schemeClr w14:val="tx1"/>
                  </w14:solidFill>
                </w14:textFill>
              </w:rPr>
            </w:pPr>
            <w:r>
              <w:rPr>
                <w:rStyle w:val="8"/>
                <w:rFonts w:hint="eastAsia" w:ascii="宋体" w:hAnsi="宋体" w:eastAsia="宋体"/>
                <w:color w:val="000000" w:themeColor="text1"/>
                <w:sz w:val="24"/>
                <w:szCs w:val="24"/>
                <w14:textFill>
                  <w14:solidFill>
                    <w14:schemeClr w14:val="tx1"/>
                  </w14:solidFill>
                </w14:textFill>
              </w:rPr>
              <w:t>2.</w:t>
            </w:r>
            <w:r>
              <w:rPr>
                <w:rFonts w:hint="eastAsia" w:ascii="宋体" w:hAnsi="宋体" w:eastAsia="宋体" w:cs="等线"/>
                <w:b/>
                <w:bCs/>
                <w:color w:val="000000" w:themeColor="text1"/>
                <w:sz w:val="24"/>
                <w:szCs w:val="24"/>
                <w14:textFill>
                  <w14:solidFill>
                    <w14:schemeClr w14:val="tx1"/>
                  </w14:solidFill>
                </w14:textFill>
              </w:rPr>
              <w:t>《安全生产行政处罚自由裁量适用规则（试行）》</w:t>
            </w:r>
            <w:r>
              <w:rPr>
                <w:rFonts w:hint="eastAsia" w:ascii="宋体" w:hAnsi="宋体" w:eastAsia="宋体" w:cs="等线"/>
                <w:color w:val="000000" w:themeColor="text1"/>
                <w:sz w:val="24"/>
                <w:szCs w:val="24"/>
                <w14:textFill>
                  <w14:solidFill>
                    <w14:schemeClr w14:val="tx1"/>
                  </w14:solidFill>
                </w14:textFill>
              </w:rPr>
              <w:t>第十五条 当事人有下列情形之一的，应当依法从重处罚：（八）故意实施违法行为的；</w:t>
            </w:r>
          </w:p>
          <w:p>
            <w:pPr>
              <w:spacing w:line="360" w:lineRule="exact"/>
              <w:rPr>
                <w:rFonts w:ascii="宋体" w:hAnsi="宋体" w:eastAsia="宋体" w:cs="等线"/>
                <w:color w:val="000000" w:themeColor="text1"/>
                <w:spacing w:val="-6"/>
                <w:sz w:val="24"/>
                <w:szCs w:val="24"/>
                <w14:textFill>
                  <w14:solidFill>
                    <w14:schemeClr w14:val="tx1"/>
                  </w14:solidFill>
                </w14:textFill>
              </w:rPr>
            </w:pPr>
            <w:r>
              <w:rPr>
                <w:rStyle w:val="8"/>
                <w:rFonts w:hint="eastAsia" w:ascii="宋体" w:hAnsi="宋体" w:eastAsia="宋体"/>
                <w:color w:val="000000" w:themeColor="text1"/>
                <w:spacing w:val="-6"/>
                <w:sz w:val="24"/>
                <w:szCs w:val="24"/>
                <w14:textFill>
                  <w14:solidFill>
                    <w14:schemeClr w14:val="tx1"/>
                  </w14:solidFill>
                </w14:textFill>
              </w:rPr>
              <w:t>3.</w:t>
            </w:r>
            <w:r>
              <w:rPr>
                <w:rFonts w:hint="eastAsia" w:ascii="宋体" w:hAnsi="宋体" w:eastAsia="宋体" w:cs="等线"/>
                <w:b/>
                <w:bCs/>
                <w:color w:val="000000" w:themeColor="text1"/>
                <w:spacing w:val="-6"/>
                <w:sz w:val="24"/>
                <w:szCs w:val="24"/>
                <w14:textFill>
                  <w14:solidFill>
                    <w14:schemeClr w14:val="tx1"/>
                  </w14:solidFill>
                </w14:textFill>
              </w:rPr>
              <w:t>《安全评价检测检验机构管理办法》</w:t>
            </w:r>
            <w:r>
              <w:rPr>
                <w:rFonts w:hint="eastAsia" w:ascii="宋体" w:hAnsi="宋体" w:eastAsia="宋体" w:cs="等线"/>
                <w:color w:val="000000" w:themeColor="text1"/>
                <w:spacing w:val="-6"/>
                <w:sz w:val="24"/>
                <w:szCs w:val="24"/>
                <w14:textFill>
                  <w14:solidFill>
                    <w14:schemeClr w14:val="tx1"/>
                  </w14:solidFill>
                </w14:textFill>
              </w:rPr>
              <w:t>第三十一条  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tc>
        <w:tc>
          <w:tcPr>
            <w:tcW w:w="1679" w:type="dxa"/>
            <w:vAlign w:val="center"/>
          </w:tcPr>
          <w:p>
            <w:pPr>
              <w:spacing w:line="360" w:lineRule="exact"/>
              <w:rPr>
                <w:rFonts w:ascii="宋体" w:hAnsi="宋体" w:eastAsia="宋体" w:cs="等线"/>
                <w:color w:val="000000" w:themeColor="text1"/>
                <w:sz w:val="24"/>
                <w:szCs w:val="24"/>
                <w14:textFill>
                  <w14:solidFill>
                    <w14:schemeClr w14:val="tx1"/>
                  </w14:solidFill>
                </w14:textFill>
              </w:rPr>
            </w:pPr>
            <w:r>
              <w:rPr>
                <w:rFonts w:hint="eastAsia" w:ascii="宋体" w:hAnsi="宋体" w:eastAsia="宋体" w:cs="等线"/>
                <w:color w:val="000000" w:themeColor="text1"/>
                <w:sz w:val="24"/>
                <w:szCs w:val="24"/>
                <w14:textFill>
                  <w14:solidFill>
                    <w14:schemeClr w14:val="tx1"/>
                  </w14:solidFill>
                </w14:textFill>
              </w:rPr>
              <w:t>失信惩戒、典型案例曝光</w:t>
            </w:r>
          </w:p>
        </w:tc>
      </w:tr>
    </w:tbl>
    <w:p>
      <w:pPr>
        <w:rPr>
          <w:rFonts w:ascii="等线" w:hAnsi="等线" w:eastAsia="等线" w:cs="等线"/>
          <w:color w:val="000000" w:themeColor="text1"/>
          <w:szCs w:val="21"/>
          <w14:textFill>
            <w14:solidFill>
              <w14:schemeClr w14:val="tx1"/>
            </w14:solidFill>
          </w14:textFill>
        </w:rPr>
      </w:pPr>
    </w:p>
    <w:sectPr>
      <w:footerReference r:id="rId3" w:type="default"/>
      <w:footerReference r:id="rId4" w:type="even"/>
      <w:pgSz w:w="16838" w:h="11906" w:orient="landscape"/>
      <w:pgMar w:top="1418"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73887"/>
      <w:docPartObj>
        <w:docPartGallery w:val="autotext"/>
      </w:docPartObj>
    </w:sdtPr>
    <w:sdtContent>
      <w:p>
        <w:pPr>
          <w:pStyle w:val="2"/>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23 -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73891"/>
      <w:docPartObj>
        <w:docPartGallery w:val="autotext"/>
      </w:docPartObj>
    </w:sdtPr>
    <w:sdtContent>
      <w:p>
        <w:pPr>
          <w:pStyle w:val="2"/>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22 -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1NzdiZGQxOWUwZjg4NDQwYWFiN2FmNDlhMzE0ODAifQ=="/>
  </w:docVars>
  <w:rsids>
    <w:rsidRoot w:val="004B088D"/>
    <w:rsid w:val="00053674"/>
    <w:rsid w:val="00073106"/>
    <w:rsid w:val="0010382D"/>
    <w:rsid w:val="00163EBF"/>
    <w:rsid w:val="00251322"/>
    <w:rsid w:val="003055B3"/>
    <w:rsid w:val="00394A9A"/>
    <w:rsid w:val="003D580D"/>
    <w:rsid w:val="0046092A"/>
    <w:rsid w:val="0048254A"/>
    <w:rsid w:val="004B088D"/>
    <w:rsid w:val="004D775D"/>
    <w:rsid w:val="00503E2D"/>
    <w:rsid w:val="005B7867"/>
    <w:rsid w:val="0060152C"/>
    <w:rsid w:val="006166A0"/>
    <w:rsid w:val="00654AF3"/>
    <w:rsid w:val="006A052E"/>
    <w:rsid w:val="007A4E6B"/>
    <w:rsid w:val="007D5A76"/>
    <w:rsid w:val="007E40B5"/>
    <w:rsid w:val="00805ACD"/>
    <w:rsid w:val="0083588F"/>
    <w:rsid w:val="008564BC"/>
    <w:rsid w:val="00872C3E"/>
    <w:rsid w:val="008E42B8"/>
    <w:rsid w:val="009322C4"/>
    <w:rsid w:val="00982E0A"/>
    <w:rsid w:val="009F11AC"/>
    <w:rsid w:val="00A35357"/>
    <w:rsid w:val="00A51D6D"/>
    <w:rsid w:val="00AB0989"/>
    <w:rsid w:val="00C237F0"/>
    <w:rsid w:val="00C84213"/>
    <w:rsid w:val="00CC3515"/>
    <w:rsid w:val="00D05EA2"/>
    <w:rsid w:val="00D565DF"/>
    <w:rsid w:val="00D615DB"/>
    <w:rsid w:val="00D73643"/>
    <w:rsid w:val="00D97B9F"/>
    <w:rsid w:val="00DA1467"/>
    <w:rsid w:val="00DF115B"/>
    <w:rsid w:val="00DF1F33"/>
    <w:rsid w:val="00E07823"/>
    <w:rsid w:val="00E437F8"/>
    <w:rsid w:val="00E714CC"/>
    <w:rsid w:val="00EA485D"/>
    <w:rsid w:val="00EC24C0"/>
    <w:rsid w:val="00EC4F2D"/>
    <w:rsid w:val="00ED7FA1"/>
    <w:rsid w:val="00EE6A0F"/>
    <w:rsid w:val="00F52A5D"/>
    <w:rsid w:val="00F75679"/>
    <w:rsid w:val="00F87B3E"/>
    <w:rsid w:val="00FE125D"/>
    <w:rsid w:val="014611F1"/>
    <w:rsid w:val="01B60E38"/>
    <w:rsid w:val="01EC3947"/>
    <w:rsid w:val="033D1B47"/>
    <w:rsid w:val="04FC263C"/>
    <w:rsid w:val="05B34BD6"/>
    <w:rsid w:val="064876EC"/>
    <w:rsid w:val="06AF7C25"/>
    <w:rsid w:val="0A3938A8"/>
    <w:rsid w:val="0B432375"/>
    <w:rsid w:val="0C793CAB"/>
    <w:rsid w:val="0DD52A87"/>
    <w:rsid w:val="0F936CA0"/>
    <w:rsid w:val="0FBE3E9A"/>
    <w:rsid w:val="104961CB"/>
    <w:rsid w:val="110572A2"/>
    <w:rsid w:val="12AA0EC0"/>
    <w:rsid w:val="1337725E"/>
    <w:rsid w:val="1402620C"/>
    <w:rsid w:val="152754B3"/>
    <w:rsid w:val="15B13EE8"/>
    <w:rsid w:val="18980374"/>
    <w:rsid w:val="1AA03612"/>
    <w:rsid w:val="1CA44A0F"/>
    <w:rsid w:val="216B029C"/>
    <w:rsid w:val="235A0180"/>
    <w:rsid w:val="23820110"/>
    <w:rsid w:val="23CF1E06"/>
    <w:rsid w:val="23E167C8"/>
    <w:rsid w:val="268469D3"/>
    <w:rsid w:val="26864004"/>
    <w:rsid w:val="270F3E16"/>
    <w:rsid w:val="274E2D73"/>
    <w:rsid w:val="28BE3758"/>
    <w:rsid w:val="29F51284"/>
    <w:rsid w:val="2BB50327"/>
    <w:rsid w:val="2BFD5910"/>
    <w:rsid w:val="2C972AC7"/>
    <w:rsid w:val="2D0D2D89"/>
    <w:rsid w:val="2EF4030B"/>
    <w:rsid w:val="2F963509"/>
    <w:rsid w:val="314D5D29"/>
    <w:rsid w:val="327C29B3"/>
    <w:rsid w:val="33DD4FA2"/>
    <w:rsid w:val="34515C51"/>
    <w:rsid w:val="34C25CD3"/>
    <w:rsid w:val="36287465"/>
    <w:rsid w:val="39406294"/>
    <w:rsid w:val="3B4E2EEA"/>
    <w:rsid w:val="3B962BC9"/>
    <w:rsid w:val="3DD10AB7"/>
    <w:rsid w:val="44B064AD"/>
    <w:rsid w:val="44F528B3"/>
    <w:rsid w:val="45973D1D"/>
    <w:rsid w:val="473B5E53"/>
    <w:rsid w:val="4ADB4041"/>
    <w:rsid w:val="4C1C6600"/>
    <w:rsid w:val="4C1E2465"/>
    <w:rsid w:val="4CDD3216"/>
    <w:rsid w:val="4D6420F9"/>
    <w:rsid w:val="4E612D2E"/>
    <w:rsid w:val="4F1969A3"/>
    <w:rsid w:val="501C08CE"/>
    <w:rsid w:val="50575F45"/>
    <w:rsid w:val="546E6F87"/>
    <w:rsid w:val="57C229DB"/>
    <w:rsid w:val="5ADB6FED"/>
    <w:rsid w:val="5B154059"/>
    <w:rsid w:val="5B7B5CBA"/>
    <w:rsid w:val="5C8D75D9"/>
    <w:rsid w:val="5CBD6DB6"/>
    <w:rsid w:val="5D94197C"/>
    <w:rsid w:val="5E48511F"/>
    <w:rsid w:val="5E532442"/>
    <w:rsid w:val="5EF50358"/>
    <w:rsid w:val="5EFD3695"/>
    <w:rsid w:val="5F023F09"/>
    <w:rsid w:val="5FE766D1"/>
    <w:rsid w:val="607122FF"/>
    <w:rsid w:val="610F180E"/>
    <w:rsid w:val="612B1C62"/>
    <w:rsid w:val="61FE7D6E"/>
    <w:rsid w:val="62284F5B"/>
    <w:rsid w:val="6248193D"/>
    <w:rsid w:val="631465B9"/>
    <w:rsid w:val="63D52178"/>
    <w:rsid w:val="63FC4707"/>
    <w:rsid w:val="66555EDF"/>
    <w:rsid w:val="669B4986"/>
    <w:rsid w:val="66D87988"/>
    <w:rsid w:val="66E6185A"/>
    <w:rsid w:val="6B8C2AEF"/>
    <w:rsid w:val="6CF43042"/>
    <w:rsid w:val="6D541F3D"/>
    <w:rsid w:val="6ED6162B"/>
    <w:rsid w:val="6F406F38"/>
    <w:rsid w:val="70860455"/>
    <w:rsid w:val="709C1B42"/>
    <w:rsid w:val="7216208E"/>
    <w:rsid w:val="72401CD2"/>
    <w:rsid w:val="72CC324D"/>
    <w:rsid w:val="72EB231F"/>
    <w:rsid w:val="735422A8"/>
    <w:rsid w:val="73963476"/>
    <w:rsid w:val="76256284"/>
    <w:rsid w:val="76D62092"/>
    <w:rsid w:val="771550BE"/>
    <w:rsid w:val="780976F0"/>
    <w:rsid w:val="79732DE9"/>
    <w:rsid w:val="7A444DBC"/>
    <w:rsid w:val="7A6E6EC1"/>
    <w:rsid w:val="7ADE0E8D"/>
    <w:rsid w:val="7AF91198"/>
    <w:rsid w:val="7BA95800"/>
    <w:rsid w:val="7BE02CC0"/>
    <w:rsid w:val="7C156AB2"/>
    <w:rsid w:val="7DDF11A4"/>
    <w:rsid w:val="7E632947"/>
    <w:rsid w:val="7F0B337E"/>
    <w:rsid w:val="7F335F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5182</Words>
  <Characters>5218</Characters>
  <Lines>120</Lines>
  <Paragraphs>33</Paragraphs>
  <TotalTime>5</TotalTime>
  <ScaleCrop>false</ScaleCrop>
  <LinksUpToDate>false</LinksUpToDate>
  <CharactersWithSpaces>5392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2022-04-12T07:55:00Z</dcterms:created>
  <dc:creator>lenovo</dc:creator>
  <cp:lastModifiedBy>lenovo</cp:lastModifiedBy>
  <cp:lastPrinted>2022-05-06T01:12:00Z</cp:lastPrinted>
  <dcterms:modified xsi:type="dcterms:W3CDTF">2022-11-03T02:04:40Z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9DCD9C3E842044469CFC8656FBE10D35</vt:lpwstr>
  </property>
</Properties>
</file>